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794B9" w14:textId="5CA2AF9A" w:rsidR="00514A59" w:rsidRDefault="00514A59" w:rsidP="002C5D1A">
      <w:pPr>
        <w:pStyle w:val="1"/>
        <w:ind w:left="-426"/>
      </w:pPr>
      <w:bookmarkStart w:id="0" w:name="_Toc133918751"/>
      <w:r w:rsidRPr="00514A59">
        <w:rPr>
          <w:noProof/>
        </w:rPr>
        <w:drawing>
          <wp:inline distT="0" distB="0" distL="0" distR="0" wp14:anchorId="63C3F269" wp14:editId="52328191">
            <wp:extent cx="6355648" cy="8988011"/>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9765" cy="8993834"/>
                    </a:xfrm>
                    <a:prstGeom prst="rect">
                      <a:avLst/>
                    </a:prstGeom>
                    <a:noFill/>
                    <a:ln>
                      <a:noFill/>
                    </a:ln>
                  </pic:spPr>
                </pic:pic>
              </a:graphicData>
            </a:graphic>
          </wp:inline>
        </w:drawing>
      </w:r>
      <w:bookmarkEnd w:id="0"/>
    </w:p>
    <w:p w14:paraId="53A3A897" w14:textId="689513DB" w:rsidR="00294767" w:rsidRDefault="00E01351">
      <w:pPr>
        <w:pStyle w:val="1"/>
      </w:pPr>
      <w:r>
        <w:br w:type="page"/>
      </w:r>
      <w:bookmarkStart w:id="1" w:name="_Toc133918752"/>
      <w:r>
        <w:lastRenderedPageBreak/>
        <w:t>Оглавление</w:t>
      </w:r>
      <w:bookmarkEnd w:id="1"/>
    </w:p>
    <w:p w14:paraId="2F1041B5" w14:textId="523D8B22" w:rsidR="00E0052F" w:rsidRDefault="00E01351">
      <w:pPr>
        <w:pStyle w:val="11"/>
        <w:tabs>
          <w:tab w:val="right" w:leader="dot" w:pos="9061"/>
        </w:tabs>
        <w:rPr>
          <w:rFonts w:asciiTheme="minorHAnsi" w:hAnsiTheme="minorHAnsi" w:cstheme="minorBidi"/>
          <w:noProof/>
          <w:sz w:val="22"/>
          <w:szCs w:val="22"/>
        </w:rPr>
      </w:pPr>
      <w:r>
        <w:fldChar w:fldCharType="begin"/>
      </w:r>
      <w:r>
        <w:instrText>TOC</w:instrText>
      </w:r>
      <w:r>
        <w:fldChar w:fldCharType="separate"/>
      </w:r>
    </w:p>
    <w:p w14:paraId="1DB58D74" w14:textId="1BF9A999" w:rsidR="00E0052F" w:rsidRDefault="00E0052F">
      <w:pPr>
        <w:pStyle w:val="11"/>
        <w:tabs>
          <w:tab w:val="right" w:leader="dot" w:pos="9061"/>
        </w:tabs>
        <w:rPr>
          <w:rFonts w:asciiTheme="minorHAnsi" w:hAnsiTheme="minorHAnsi" w:cstheme="minorBidi"/>
          <w:noProof/>
          <w:sz w:val="22"/>
          <w:szCs w:val="22"/>
        </w:rPr>
      </w:pPr>
      <w:r>
        <w:rPr>
          <w:noProof/>
        </w:rPr>
        <w:t>Оглавление</w:t>
      </w:r>
      <w:r>
        <w:rPr>
          <w:noProof/>
        </w:rPr>
        <w:tab/>
      </w:r>
      <w:r>
        <w:rPr>
          <w:noProof/>
        </w:rPr>
        <w:fldChar w:fldCharType="begin"/>
      </w:r>
      <w:r>
        <w:rPr>
          <w:noProof/>
        </w:rPr>
        <w:instrText xml:space="preserve"> PAGEREF _Toc133918752 \h </w:instrText>
      </w:r>
      <w:r>
        <w:rPr>
          <w:noProof/>
        </w:rPr>
      </w:r>
      <w:r>
        <w:rPr>
          <w:noProof/>
        </w:rPr>
        <w:fldChar w:fldCharType="separate"/>
      </w:r>
      <w:r>
        <w:rPr>
          <w:noProof/>
        </w:rPr>
        <w:t>2</w:t>
      </w:r>
      <w:r>
        <w:rPr>
          <w:noProof/>
        </w:rPr>
        <w:fldChar w:fldCharType="end"/>
      </w:r>
    </w:p>
    <w:p w14:paraId="590066AB" w14:textId="2562C911" w:rsidR="00E0052F" w:rsidRDefault="00E0052F">
      <w:pPr>
        <w:pStyle w:val="11"/>
        <w:tabs>
          <w:tab w:val="right" w:leader="dot" w:pos="9061"/>
        </w:tabs>
        <w:rPr>
          <w:rFonts w:asciiTheme="minorHAnsi" w:hAnsiTheme="minorHAnsi" w:cstheme="minorBidi"/>
          <w:noProof/>
          <w:sz w:val="22"/>
          <w:szCs w:val="22"/>
        </w:rPr>
      </w:pPr>
      <w:r>
        <w:rPr>
          <w:noProof/>
        </w:rPr>
        <w:t>Введение</w:t>
      </w:r>
      <w:r>
        <w:rPr>
          <w:noProof/>
        </w:rPr>
        <w:tab/>
      </w:r>
      <w:r>
        <w:rPr>
          <w:noProof/>
        </w:rPr>
        <w:fldChar w:fldCharType="begin"/>
      </w:r>
      <w:r>
        <w:rPr>
          <w:noProof/>
        </w:rPr>
        <w:instrText xml:space="preserve"> PAGEREF _Toc133918753 \h </w:instrText>
      </w:r>
      <w:r>
        <w:rPr>
          <w:noProof/>
        </w:rPr>
      </w:r>
      <w:r>
        <w:rPr>
          <w:noProof/>
        </w:rPr>
        <w:fldChar w:fldCharType="separate"/>
      </w:r>
      <w:r>
        <w:rPr>
          <w:noProof/>
        </w:rPr>
        <w:t>4</w:t>
      </w:r>
      <w:r>
        <w:rPr>
          <w:noProof/>
        </w:rPr>
        <w:fldChar w:fldCharType="end"/>
      </w:r>
    </w:p>
    <w:p w14:paraId="7F6F8B8E" w14:textId="737D06A6" w:rsidR="00E0052F" w:rsidRDefault="00E0052F">
      <w:pPr>
        <w:pStyle w:val="11"/>
        <w:tabs>
          <w:tab w:val="right" w:leader="dot" w:pos="9061"/>
        </w:tabs>
        <w:rPr>
          <w:rFonts w:asciiTheme="minorHAnsi" w:hAnsiTheme="minorHAnsi" w:cstheme="minorBidi"/>
          <w:noProof/>
          <w:sz w:val="22"/>
          <w:szCs w:val="22"/>
        </w:rPr>
      </w:pPr>
      <w:r>
        <w:rPr>
          <w:noProof/>
        </w:rPr>
        <w:t>Раздел 1. Управленческий отчет эмитента</w:t>
      </w:r>
      <w:r>
        <w:rPr>
          <w:noProof/>
        </w:rPr>
        <w:tab/>
      </w:r>
      <w:r>
        <w:rPr>
          <w:noProof/>
        </w:rPr>
        <w:fldChar w:fldCharType="begin"/>
      </w:r>
      <w:r>
        <w:rPr>
          <w:noProof/>
        </w:rPr>
        <w:instrText xml:space="preserve"> PAGEREF _Toc133918754 \h </w:instrText>
      </w:r>
      <w:r>
        <w:rPr>
          <w:noProof/>
        </w:rPr>
      </w:r>
      <w:r>
        <w:rPr>
          <w:noProof/>
        </w:rPr>
        <w:fldChar w:fldCharType="separate"/>
      </w:r>
      <w:r>
        <w:rPr>
          <w:noProof/>
        </w:rPr>
        <w:t>4</w:t>
      </w:r>
      <w:r>
        <w:rPr>
          <w:noProof/>
        </w:rPr>
        <w:fldChar w:fldCharType="end"/>
      </w:r>
    </w:p>
    <w:p w14:paraId="7549B3D4" w14:textId="077BD3DD" w:rsidR="00E0052F" w:rsidRDefault="00E0052F">
      <w:pPr>
        <w:pStyle w:val="21"/>
        <w:tabs>
          <w:tab w:val="right" w:leader="dot" w:pos="9061"/>
        </w:tabs>
        <w:rPr>
          <w:rFonts w:asciiTheme="minorHAnsi" w:hAnsiTheme="minorHAnsi" w:cstheme="minorBidi"/>
          <w:noProof/>
          <w:sz w:val="22"/>
          <w:szCs w:val="22"/>
        </w:rPr>
      </w:pPr>
      <w:r>
        <w:rPr>
          <w:noProof/>
        </w:rPr>
        <w:t>1.1. Общие сведения об эмитенте и его деятельности</w:t>
      </w:r>
      <w:r>
        <w:rPr>
          <w:noProof/>
        </w:rPr>
        <w:tab/>
      </w:r>
      <w:r>
        <w:rPr>
          <w:noProof/>
        </w:rPr>
        <w:fldChar w:fldCharType="begin"/>
      </w:r>
      <w:r>
        <w:rPr>
          <w:noProof/>
        </w:rPr>
        <w:instrText xml:space="preserve"> PAGEREF _Toc133918755 \h </w:instrText>
      </w:r>
      <w:r>
        <w:rPr>
          <w:noProof/>
        </w:rPr>
      </w:r>
      <w:r>
        <w:rPr>
          <w:noProof/>
        </w:rPr>
        <w:fldChar w:fldCharType="separate"/>
      </w:r>
      <w:r>
        <w:rPr>
          <w:noProof/>
        </w:rPr>
        <w:t>4</w:t>
      </w:r>
      <w:r>
        <w:rPr>
          <w:noProof/>
        </w:rPr>
        <w:fldChar w:fldCharType="end"/>
      </w:r>
    </w:p>
    <w:p w14:paraId="2784C5ED" w14:textId="7E8A1161" w:rsidR="00E0052F" w:rsidRDefault="00E0052F">
      <w:pPr>
        <w:pStyle w:val="21"/>
        <w:tabs>
          <w:tab w:val="right" w:leader="dot" w:pos="9061"/>
        </w:tabs>
        <w:rPr>
          <w:rFonts w:asciiTheme="minorHAnsi" w:hAnsiTheme="minorHAnsi" w:cstheme="minorBidi"/>
          <w:noProof/>
          <w:sz w:val="22"/>
          <w:szCs w:val="22"/>
        </w:rPr>
      </w:pPr>
      <w:r>
        <w:rPr>
          <w:noProof/>
        </w:rPr>
        <w:t>1.2. Сведения о положении эмитента в отрасли</w:t>
      </w:r>
      <w:r>
        <w:rPr>
          <w:noProof/>
        </w:rPr>
        <w:tab/>
      </w:r>
      <w:r>
        <w:rPr>
          <w:noProof/>
        </w:rPr>
        <w:fldChar w:fldCharType="begin"/>
      </w:r>
      <w:r>
        <w:rPr>
          <w:noProof/>
        </w:rPr>
        <w:instrText xml:space="preserve"> PAGEREF _Toc133918756 \h </w:instrText>
      </w:r>
      <w:r>
        <w:rPr>
          <w:noProof/>
        </w:rPr>
      </w:r>
      <w:r>
        <w:rPr>
          <w:noProof/>
        </w:rPr>
        <w:fldChar w:fldCharType="separate"/>
      </w:r>
      <w:r>
        <w:rPr>
          <w:noProof/>
        </w:rPr>
        <w:t>7</w:t>
      </w:r>
      <w:r>
        <w:rPr>
          <w:noProof/>
        </w:rPr>
        <w:fldChar w:fldCharType="end"/>
      </w:r>
    </w:p>
    <w:p w14:paraId="2BA9DCF5" w14:textId="045FE83F" w:rsidR="00E0052F" w:rsidRDefault="00E0052F">
      <w:pPr>
        <w:pStyle w:val="21"/>
        <w:tabs>
          <w:tab w:val="right" w:leader="dot" w:pos="9061"/>
        </w:tabs>
        <w:rPr>
          <w:rFonts w:asciiTheme="minorHAnsi" w:hAnsiTheme="minorHAnsi" w:cstheme="minorBidi"/>
          <w:noProof/>
          <w:sz w:val="22"/>
          <w:szCs w:val="22"/>
        </w:rPr>
      </w:pPr>
      <w:r>
        <w:rPr>
          <w:noProof/>
        </w:rPr>
        <w:t>1.3. Основные операционные показатели, характеризующие деятельность эмитента</w:t>
      </w:r>
      <w:r>
        <w:rPr>
          <w:noProof/>
        </w:rPr>
        <w:tab/>
      </w:r>
      <w:r>
        <w:rPr>
          <w:noProof/>
        </w:rPr>
        <w:fldChar w:fldCharType="begin"/>
      </w:r>
      <w:r>
        <w:rPr>
          <w:noProof/>
        </w:rPr>
        <w:instrText xml:space="preserve"> PAGEREF _Toc133918757 \h </w:instrText>
      </w:r>
      <w:r>
        <w:rPr>
          <w:noProof/>
        </w:rPr>
      </w:r>
      <w:r>
        <w:rPr>
          <w:noProof/>
        </w:rPr>
        <w:fldChar w:fldCharType="separate"/>
      </w:r>
      <w:r>
        <w:rPr>
          <w:noProof/>
        </w:rPr>
        <w:t>10</w:t>
      </w:r>
      <w:r>
        <w:rPr>
          <w:noProof/>
        </w:rPr>
        <w:fldChar w:fldCharType="end"/>
      </w:r>
    </w:p>
    <w:p w14:paraId="2E8E5DE6" w14:textId="0E80BB13" w:rsidR="00E0052F" w:rsidRDefault="00E0052F">
      <w:pPr>
        <w:pStyle w:val="21"/>
        <w:tabs>
          <w:tab w:val="right" w:leader="dot" w:pos="9061"/>
        </w:tabs>
        <w:rPr>
          <w:rFonts w:asciiTheme="minorHAnsi" w:hAnsiTheme="minorHAnsi" w:cstheme="minorBidi"/>
          <w:noProof/>
          <w:sz w:val="22"/>
          <w:szCs w:val="22"/>
        </w:rPr>
      </w:pPr>
      <w:r>
        <w:rPr>
          <w:noProof/>
        </w:rPr>
        <w:t>1.4. Основные финансовые показатели эмитента</w:t>
      </w:r>
      <w:r>
        <w:rPr>
          <w:noProof/>
        </w:rPr>
        <w:tab/>
      </w:r>
      <w:r>
        <w:rPr>
          <w:noProof/>
        </w:rPr>
        <w:fldChar w:fldCharType="begin"/>
      </w:r>
      <w:r>
        <w:rPr>
          <w:noProof/>
        </w:rPr>
        <w:instrText xml:space="preserve"> PAGEREF _Toc133918758 \h </w:instrText>
      </w:r>
      <w:r>
        <w:rPr>
          <w:noProof/>
        </w:rPr>
      </w:r>
      <w:r>
        <w:rPr>
          <w:noProof/>
        </w:rPr>
        <w:fldChar w:fldCharType="separate"/>
      </w:r>
      <w:r>
        <w:rPr>
          <w:noProof/>
        </w:rPr>
        <w:t>10</w:t>
      </w:r>
      <w:r>
        <w:rPr>
          <w:noProof/>
        </w:rPr>
        <w:fldChar w:fldCharType="end"/>
      </w:r>
    </w:p>
    <w:p w14:paraId="26B5118E" w14:textId="340F22DB" w:rsidR="00E0052F" w:rsidRDefault="00E0052F">
      <w:pPr>
        <w:pStyle w:val="21"/>
        <w:tabs>
          <w:tab w:val="right" w:leader="dot" w:pos="9061"/>
        </w:tabs>
        <w:rPr>
          <w:rFonts w:asciiTheme="minorHAnsi" w:hAnsiTheme="minorHAnsi" w:cstheme="minorBidi"/>
          <w:noProof/>
          <w:sz w:val="22"/>
          <w:szCs w:val="22"/>
        </w:rPr>
      </w:pPr>
      <w:r>
        <w:rPr>
          <w:noProof/>
        </w:rPr>
        <w:t>1.5. Сведения об основных поставщиках, имеющих для эмитента существенное значение</w:t>
      </w:r>
      <w:r>
        <w:rPr>
          <w:noProof/>
        </w:rPr>
        <w:tab/>
      </w:r>
      <w:r>
        <w:rPr>
          <w:noProof/>
        </w:rPr>
        <w:fldChar w:fldCharType="begin"/>
      </w:r>
      <w:r>
        <w:rPr>
          <w:noProof/>
        </w:rPr>
        <w:instrText xml:space="preserve"> PAGEREF _Toc133918759 \h </w:instrText>
      </w:r>
      <w:r>
        <w:rPr>
          <w:noProof/>
        </w:rPr>
      </w:r>
      <w:r>
        <w:rPr>
          <w:noProof/>
        </w:rPr>
        <w:fldChar w:fldCharType="separate"/>
      </w:r>
      <w:r>
        <w:rPr>
          <w:noProof/>
        </w:rPr>
        <w:t>12</w:t>
      </w:r>
      <w:r>
        <w:rPr>
          <w:noProof/>
        </w:rPr>
        <w:fldChar w:fldCharType="end"/>
      </w:r>
    </w:p>
    <w:p w14:paraId="0B6F35A1" w14:textId="297609BB" w:rsidR="00E0052F" w:rsidRDefault="00E0052F">
      <w:pPr>
        <w:pStyle w:val="21"/>
        <w:tabs>
          <w:tab w:val="right" w:leader="dot" w:pos="9061"/>
        </w:tabs>
        <w:rPr>
          <w:rFonts w:asciiTheme="minorHAnsi" w:hAnsiTheme="minorHAnsi" w:cstheme="minorBidi"/>
          <w:noProof/>
          <w:sz w:val="22"/>
          <w:szCs w:val="22"/>
        </w:rPr>
      </w:pPr>
      <w:r>
        <w:rPr>
          <w:noProof/>
        </w:rPr>
        <w:t>1.6. Сведения об основных дебиторах, имеющих для эмитента существенное значение</w:t>
      </w:r>
      <w:r>
        <w:rPr>
          <w:noProof/>
        </w:rPr>
        <w:tab/>
      </w:r>
      <w:r>
        <w:rPr>
          <w:noProof/>
        </w:rPr>
        <w:fldChar w:fldCharType="begin"/>
      </w:r>
      <w:r>
        <w:rPr>
          <w:noProof/>
        </w:rPr>
        <w:instrText xml:space="preserve"> PAGEREF _Toc133918760 \h </w:instrText>
      </w:r>
      <w:r>
        <w:rPr>
          <w:noProof/>
        </w:rPr>
      </w:r>
      <w:r>
        <w:rPr>
          <w:noProof/>
        </w:rPr>
        <w:fldChar w:fldCharType="separate"/>
      </w:r>
      <w:r>
        <w:rPr>
          <w:noProof/>
        </w:rPr>
        <w:t>12</w:t>
      </w:r>
      <w:r>
        <w:rPr>
          <w:noProof/>
        </w:rPr>
        <w:fldChar w:fldCharType="end"/>
      </w:r>
    </w:p>
    <w:p w14:paraId="44690814" w14:textId="718C1F20" w:rsidR="00E0052F" w:rsidRDefault="00E0052F">
      <w:pPr>
        <w:pStyle w:val="21"/>
        <w:tabs>
          <w:tab w:val="right" w:leader="dot" w:pos="9061"/>
        </w:tabs>
        <w:rPr>
          <w:rFonts w:asciiTheme="minorHAnsi" w:hAnsiTheme="minorHAnsi" w:cstheme="minorBidi"/>
          <w:noProof/>
          <w:sz w:val="22"/>
          <w:szCs w:val="22"/>
        </w:rPr>
      </w:pPr>
      <w:r>
        <w:rPr>
          <w:noProof/>
        </w:rPr>
        <w:t>1.7. Сведения об обязательствах эмитента</w:t>
      </w:r>
      <w:r>
        <w:rPr>
          <w:noProof/>
        </w:rPr>
        <w:tab/>
      </w:r>
      <w:r>
        <w:rPr>
          <w:noProof/>
        </w:rPr>
        <w:fldChar w:fldCharType="begin"/>
      </w:r>
      <w:r>
        <w:rPr>
          <w:noProof/>
        </w:rPr>
        <w:instrText xml:space="preserve"> PAGEREF _Toc133918761 \h </w:instrText>
      </w:r>
      <w:r>
        <w:rPr>
          <w:noProof/>
        </w:rPr>
      </w:r>
      <w:r>
        <w:rPr>
          <w:noProof/>
        </w:rPr>
        <w:fldChar w:fldCharType="separate"/>
      </w:r>
      <w:r>
        <w:rPr>
          <w:noProof/>
        </w:rPr>
        <w:t>1</w:t>
      </w:r>
      <w:r>
        <w:rPr>
          <w:noProof/>
        </w:rPr>
        <w:fldChar w:fldCharType="end"/>
      </w:r>
      <w:r w:rsidR="001A16D6">
        <w:rPr>
          <w:noProof/>
        </w:rPr>
        <w:t>2</w:t>
      </w:r>
    </w:p>
    <w:p w14:paraId="0C67AFA6" w14:textId="23F49FE8" w:rsidR="00E0052F" w:rsidRDefault="00E0052F">
      <w:pPr>
        <w:pStyle w:val="21"/>
        <w:tabs>
          <w:tab w:val="right" w:leader="dot" w:pos="9061"/>
        </w:tabs>
        <w:rPr>
          <w:rFonts w:asciiTheme="minorHAnsi" w:hAnsiTheme="minorHAnsi" w:cstheme="minorBidi"/>
          <w:noProof/>
          <w:sz w:val="22"/>
          <w:szCs w:val="22"/>
        </w:rPr>
      </w:pPr>
      <w:r>
        <w:rPr>
          <w:noProof/>
        </w:rPr>
        <w:t>1.7.1. Сведения об основных кредиторах, имеющих для эмитента существенное значение</w:t>
      </w:r>
      <w:r>
        <w:rPr>
          <w:noProof/>
        </w:rPr>
        <w:tab/>
      </w:r>
      <w:r w:rsidR="001A16D6">
        <w:rPr>
          <w:noProof/>
        </w:rPr>
        <w:t>12</w:t>
      </w:r>
    </w:p>
    <w:p w14:paraId="00CA389E" w14:textId="726C1B27" w:rsidR="00E0052F" w:rsidRDefault="00E0052F">
      <w:pPr>
        <w:pStyle w:val="21"/>
        <w:tabs>
          <w:tab w:val="right" w:leader="dot" w:pos="9061"/>
        </w:tabs>
        <w:rPr>
          <w:rFonts w:asciiTheme="minorHAnsi" w:hAnsiTheme="minorHAnsi" w:cstheme="minorBidi"/>
          <w:noProof/>
          <w:sz w:val="22"/>
          <w:szCs w:val="22"/>
        </w:rPr>
      </w:pPr>
      <w:r>
        <w:rPr>
          <w:noProof/>
        </w:rPr>
        <w:t>1.7.2. Сведения об обязательствах эмитента из предоставленного обеспечения</w:t>
      </w:r>
      <w:r>
        <w:rPr>
          <w:noProof/>
        </w:rPr>
        <w:tab/>
      </w:r>
      <w:r w:rsidR="001A16D6">
        <w:rPr>
          <w:noProof/>
        </w:rPr>
        <w:t>12</w:t>
      </w:r>
    </w:p>
    <w:p w14:paraId="68EAB98C" w14:textId="5043C2CA" w:rsidR="00E0052F" w:rsidRDefault="00E0052F">
      <w:pPr>
        <w:pStyle w:val="21"/>
        <w:tabs>
          <w:tab w:val="right" w:leader="dot" w:pos="9061"/>
        </w:tabs>
        <w:rPr>
          <w:rFonts w:asciiTheme="minorHAnsi" w:hAnsiTheme="minorHAnsi" w:cstheme="minorBidi"/>
          <w:noProof/>
          <w:sz w:val="22"/>
          <w:szCs w:val="22"/>
        </w:rPr>
      </w:pPr>
      <w:r>
        <w:rPr>
          <w:noProof/>
        </w:rPr>
        <w:t>1.7.3. Сведения о прочих существенных обязательствах эмитента</w:t>
      </w:r>
      <w:r>
        <w:rPr>
          <w:noProof/>
        </w:rPr>
        <w:tab/>
      </w:r>
      <w:r w:rsidR="001A16D6">
        <w:rPr>
          <w:noProof/>
        </w:rPr>
        <w:t>12</w:t>
      </w:r>
    </w:p>
    <w:p w14:paraId="0FDD19E3" w14:textId="593C8689" w:rsidR="00E0052F" w:rsidRDefault="00E0052F">
      <w:pPr>
        <w:pStyle w:val="21"/>
        <w:tabs>
          <w:tab w:val="right" w:leader="dot" w:pos="9061"/>
        </w:tabs>
        <w:rPr>
          <w:rFonts w:asciiTheme="minorHAnsi" w:hAnsiTheme="minorHAnsi" w:cstheme="minorBidi"/>
          <w:noProof/>
          <w:sz w:val="22"/>
          <w:szCs w:val="22"/>
        </w:rPr>
      </w:pPr>
      <w:r>
        <w:rPr>
          <w:noProof/>
        </w:rPr>
        <w:t>1.8. Сведения о перспективах развития эмитента</w:t>
      </w:r>
      <w:r>
        <w:rPr>
          <w:noProof/>
        </w:rPr>
        <w:tab/>
      </w:r>
      <w:r w:rsidR="001A16D6">
        <w:rPr>
          <w:noProof/>
        </w:rPr>
        <w:t>12</w:t>
      </w:r>
    </w:p>
    <w:p w14:paraId="3036D93B" w14:textId="198C2013" w:rsidR="00E0052F" w:rsidRDefault="00E0052F">
      <w:pPr>
        <w:pStyle w:val="21"/>
        <w:tabs>
          <w:tab w:val="right" w:leader="dot" w:pos="9061"/>
        </w:tabs>
        <w:rPr>
          <w:rFonts w:asciiTheme="minorHAnsi" w:hAnsiTheme="minorHAnsi" w:cstheme="minorBidi"/>
          <w:noProof/>
          <w:sz w:val="22"/>
          <w:szCs w:val="22"/>
        </w:rPr>
      </w:pPr>
      <w:r>
        <w:rPr>
          <w:noProof/>
        </w:rPr>
        <w:t>1.9. Сведения о рисках, связанных с деятельностью эмитента</w:t>
      </w:r>
      <w:r>
        <w:rPr>
          <w:noProof/>
        </w:rPr>
        <w:tab/>
      </w:r>
      <w:r w:rsidR="001A16D6">
        <w:rPr>
          <w:noProof/>
        </w:rPr>
        <w:t>12</w:t>
      </w:r>
    </w:p>
    <w:p w14:paraId="43387603" w14:textId="460995F5" w:rsidR="00E0052F" w:rsidRDefault="00E0052F">
      <w:pPr>
        <w:pStyle w:val="21"/>
        <w:tabs>
          <w:tab w:val="right" w:leader="dot" w:pos="9061"/>
        </w:tabs>
        <w:rPr>
          <w:rFonts w:asciiTheme="minorHAnsi" w:hAnsiTheme="minorHAnsi" w:cstheme="minorBidi"/>
          <w:noProof/>
          <w:sz w:val="22"/>
          <w:szCs w:val="22"/>
        </w:rPr>
      </w:pPr>
      <w:r>
        <w:rPr>
          <w:noProof/>
        </w:rPr>
        <w:t>1.9.1. Отраслевые риски</w:t>
      </w:r>
      <w:r>
        <w:rPr>
          <w:noProof/>
        </w:rPr>
        <w:tab/>
      </w:r>
      <w:r w:rsidR="001A16D6">
        <w:rPr>
          <w:noProof/>
        </w:rPr>
        <w:t>13</w:t>
      </w:r>
    </w:p>
    <w:p w14:paraId="6814392A" w14:textId="5941BC18" w:rsidR="00E0052F" w:rsidRDefault="00E0052F">
      <w:pPr>
        <w:pStyle w:val="21"/>
        <w:tabs>
          <w:tab w:val="right" w:leader="dot" w:pos="9061"/>
        </w:tabs>
        <w:rPr>
          <w:rFonts w:asciiTheme="minorHAnsi" w:hAnsiTheme="minorHAnsi" w:cstheme="minorBidi"/>
          <w:noProof/>
          <w:sz w:val="22"/>
          <w:szCs w:val="22"/>
        </w:rPr>
      </w:pPr>
      <w:r>
        <w:rPr>
          <w:noProof/>
        </w:rPr>
        <w:t>1.9.2. Страновые и региональные риски</w:t>
      </w:r>
      <w:r>
        <w:rPr>
          <w:noProof/>
        </w:rPr>
        <w:tab/>
      </w:r>
      <w:r w:rsidR="001A16D6">
        <w:rPr>
          <w:noProof/>
        </w:rPr>
        <w:t>16</w:t>
      </w:r>
    </w:p>
    <w:p w14:paraId="6AE1E58F" w14:textId="0BED26DA" w:rsidR="00E0052F" w:rsidRDefault="00E0052F">
      <w:pPr>
        <w:pStyle w:val="21"/>
        <w:tabs>
          <w:tab w:val="right" w:leader="dot" w:pos="9061"/>
        </w:tabs>
        <w:rPr>
          <w:rFonts w:asciiTheme="minorHAnsi" w:hAnsiTheme="minorHAnsi" w:cstheme="minorBidi"/>
          <w:noProof/>
          <w:sz w:val="22"/>
          <w:szCs w:val="22"/>
        </w:rPr>
      </w:pPr>
      <w:r>
        <w:rPr>
          <w:noProof/>
        </w:rPr>
        <w:t>1.9.3. Финансовые риски</w:t>
      </w:r>
      <w:r>
        <w:rPr>
          <w:noProof/>
        </w:rPr>
        <w:tab/>
      </w:r>
      <w:r w:rsidR="001A16D6">
        <w:rPr>
          <w:noProof/>
        </w:rPr>
        <w:t>17</w:t>
      </w:r>
    </w:p>
    <w:p w14:paraId="77308EF7" w14:textId="4A062327" w:rsidR="00E0052F" w:rsidRDefault="00E0052F">
      <w:pPr>
        <w:pStyle w:val="21"/>
        <w:tabs>
          <w:tab w:val="right" w:leader="dot" w:pos="9061"/>
        </w:tabs>
        <w:rPr>
          <w:rFonts w:asciiTheme="minorHAnsi" w:hAnsiTheme="minorHAnsi" w:cstheme="minorBidi"/>
          <w:noProof/>
          <w:sz w:val="22"/>
          <w:szCs w:val="22"/>
        </w:rPr>
      </w:pPr>
      <w:r>
        <w:rPr>
          <w:noProof/>
        </w:rPr>
        <w:t>1.9.4. Правовые риски</w:t>
      </w:r>
      <w:r>
        <w:rPr>
          <w:noProof/>
        </w:rPr>
        <w:tab/>
      </w:r>
      <w:r w:rsidR="001A16D6">
        <w:rPr>
          <w:noProof/>
        </w:rPr>
        <w:t>18</w:t>
      </w:r>
    </w:p>
    <w:p w14:paraId="1CE988DA" w14:textId="5B81AAB0" w:rsidR="00E0052F" w:rsidRDefault="00E0052F">
      <w:pPr>
        <w:pStyle w:val="21"/>
        <w:tabs>
          <w:tab w:val="right" w:leader="dot" w:pos="9061"/>
        </w:tabs>
        <w:rPr>
          <w:rFonts w:asciiTheme="minorHAnsi" w:hAnsiTheme="minorHAnsi" w:cstheme="minorBidi"/>
          <w:noProof/>
          <w:sz w:val="22"/>
          <w:szCs w:val="22"/>
        </w:rPr>
      </w:pPr>
      <w:r>
        <w:rPr>
          <w:noProof/>
        </w:rPr>
        <w:t>1.9.5. Риск потери деловой репутации (репутационный риск)</w:t>
      </w:r>
      <w:r>
        <w:rPr>
          <w:noProof/>
        </w:rPr>
        <w:tab/>
      </w:r>
      <w:r w:rsidR="001A16D6">
        <w:rPr>
          <w:noProof/>
        </w:rPr>
        <w:t>22</w:t>
      </w:r>
    </w:p>
    <w:p w14:paraId="4633D50F" w14:textId="264AB9F5" w:rsidR="00E0052F" w:rsidRDefault="00E0052F">
      <w:pPr>
        <w:pStyle w:val="21"/>
        <w:tabs>
          <w:tab w:val="right" w:leader="dot" w:pos="9061"/>
        </w:tabs>
        <w:rPr>
          <w:rFonts w:asciiTheme="minorHAnsi" w:hAnsiTheme="minorHAnsi" w:cstheme="minorBidi"/>
          <w:noProof/>
          <w:sz w:val="22"/>
          <w:szCs w:val="22"/>
        </w:rPr>
      </w:pPr>
      <w:r>
        <w:rPr>
          <w:noProof/>
        </w:rPr>
        <w:t>1.9.6. Стратегический риск</w:t>
      </w:r>
      <w:r>
        <w:rPr>
          <w:noProof/>
        </w:rPr>
        <w:tab/>
      </w:r>
      <w:r w:rsidR="001A16D6">
        <w:rPr>
          <w:noProof/>
        </w:rPr>
        <w:t>23</w:t>
      </w:r>
    </w:p>
    <w:p w14:paraId="4D816D53" w14:textId="5FC70F87" w:rsidR="00E0052F" w:rsidRDefault="00E0052F">
      <w:pPr>
        <w:pStyle w:val="21"/>
        <w:tabs>
          <w:tab w:val="right" w:leader="dot" w:pos="9061"/>
        </w:tabs>
        <w:rPr>
          <w:rFonts w:asciiTheme="minorHAnsi" w:hAnsiTheme="minorHAnsi" w:cstheme="minorBidi"/>
          <w:noProof/>
          <w:sz w:val="22"/>
          <w:szCs w:val="22"/>
        </w:rPr>
      </w:pPr>
      <w:r>
        <w:rPr>
          <w:noProof/>
        </w:rPr>
        <w:t>1.9.7. Риски, связанные с деятельностью эмитента</w:t>
      </w:r>
      <w:r>
        <w:rPr>
          <w:noProof/>
        </w:rPr>
        <w:tab/>
      </w:r>
      <w:r w:rsidR="001A16D6">
        <w:rPr>
          <w:noProof/>
        </w:rPr>
        <w:t>23</w:t>
      </w:r>
    </w:p>
    <w:p w14:paraId="794BF0ED" w14:textId="657439AF" w:rsidR="00E0052F" w:rsidRDefault="00E0052F">
      <w:pPr>
        <w:pStyle w:val="21"/>
        <w:tabs>
          <w:tab w:val="right" w:leader="dot" w:pos="9061"/>
        </w:tabs>
        <w:rPr>
          <w:rFonts w:asciiTheme="minorHAnsi" w:hAnsiTheme="minorHAnsi" w:cstheme="minorBidi"/>
          <w:noProof/>
          <w:sz w:val="22"/>
          <w:szCs w:val="22"/>
        </w:rPr>
      </w:pPr>
      <w:r>
        <w:rPr>
          <w:noProof/>
        </w:rPr>
        <w:t>1.9.8. Риск информационной безопасности</w:t>
      </w:r>
      <w:r>
        <w:rPr>
          <w:noProof/>
        </w:rPr>
        <w:tab/>
      </w:r>
      <w:r w:rsidR="001A16D6">
        <w:rPr>
          <w:noProof/>
        </w:rPr>
        <w:t>24</w:t>
      </w:r>
    </w:p>
    <w:p w14:paraId="7166A3E3" w14:textId="27A4C17D" w:rsidR="00E0052F" w:rsidRDefault="00E0052F">
      <w:pPr>
        <w:pStyle w:val="21"/>
        <w:tabs>
          <w:tab w:val="right" w:leader="dot" w:pos="9061"/>
        </w:tabs>
        <w:rPr>
          <w:rFonts w:asciiTheme="minorHAnsi" w:hAnsiTheme="minorHAnsi" w:cstheme="minorBidi"/>
          <w:noProof/>
          <w:sz w:val="22"/>
          <w:szCs w:val="22"/>
        </w:rPr>
      </w:pPr>
      <w:r>
        <w:rPr>
          <w:noProof/>
        </w:rPr>
        <w:t>1.9.9. Экологический риск</w:t>
      </w:r>
      <w:r>
        <w:rPr>
          <w:noProof/>
        </w:rPr>
        <w:tab/>
      </w:r>
      <w:r w:rsidR="001A16D6">
        <w:rPr>
          <w:noProof/>
        </w:rPr>
        <w:t>24</w:t>
      </w:r>
    </w:p>
    <w:p w14:paraId="09AA3BF8" w14:textId="599E393E" w:rsidR="00E0052F" w:rsidRDefault="00E0052F">
      <w:pPr>
        <w:pStyle w:val="21"/>
        <w:tabs>
          <w:tab w:val="right" w:leader="dot" w:pos="9061"/>
        </w:tabs>
        <w:rPr>
          <w:rFonts w:asciiTheme="minorHAnsi" w:hAnsiTheme="minorHAnsi" w:cstheme="minorBidi"/>
          <w:noProof/>
          <w:sz w:val="22"/>
          <w:szCs w:val="22"/>
        </w:rPr>
      </w:pPr>
      <w:r>
        <w:rPr>
          <w:noProof/>
        </w:rPr>
        <w:t>1.9.10. Природно-климатический риск</w:t>
      </w:r>
      <w:r>
        <w:rPr>
          <w:noProof/>
        </w:rPr>
        <w:tab/>
      </w:r>
      <w:r w:rsidR="001A16D6">
        <w:rPr>
          <w:noProof/>
        </w:rPr>
        <w:t>24</w:t>
      </w:r>
    </w:p>
    <w:p w14:paraId="62CB6059" w14:textId="2502459C" w:rsidR="00E0052F" w:rsidRDefault="00E0052F">
      <w:pPr>
        <w:pStyle w:val="21"/>
        <w:tabs>
          <w:tab w:val="right" w:leader="dot" w:pos="9061"/>
        </w:tabs>
        <w:rPr>
          <w:rFonts w:asciiTheme="minorHAnsi" w:hAnsiTheme="minorHAnsi" w:cstheme="minorBidi"/>
          <w:noProof/>
          <w:sz w:val="22"/>
          <w:szCs w:val="22"/>
        </w:rPr>
      </w:pPr>
      <w:r>
        <w:rPr>
          <w:noProof/>
        </w:rPr>
        <w:t>1.9.11. Риски кредитных организаций</w:t>
      </w:r>
      <w:r>
        <w:rPr>
          <w:noProof/>
        </w:rPr>
        <w:tab/>
      </w:r>
      <w:r w:rsidR="001A16D6">
        <w:rPr>
          <w:noProof/>
        </w:rPr>
        <w:t>24</w:t>
      </w:r>
    </w:p>
    <w:p w14:paraId="2F3C2C92" w14:textId="507F9D14" w:rsidR="00E0052F" w:rsidRDefault="00E0052F">
      <w:pPr>
        <w:pStyle w:val="21"/>
        <w:tabs>
          <w:tab w:val="right" w:leader="dot" w:pos="9061"/>
        </w:tabs>
        <w:rPr>
          <w:rFonts w:asciiTheme="minorHAnsi" w:hAnsiTheme="minorHAnsi" w:cstheme="minorBidi"/>
          <w:noProof/>
          <w:sz w:val="22"/>
          <w:szCs w:val="22"/>
        </w:rPr>
      </w:pPr>
      <w:r>
        <w:rPr>
          <w:noProof/>
        </w:rPr>
        <w:t>1.9.12. Иные риски, которые являются существенными для эмитента (группы эмитента)</w:t>
      </w:r>
      <w:r>
        <w:rPr>
          <w:noProof/>
        </w:rPr>
        <w:tab/>
      </w:r>
      <w:r w:rsidR="001A16D6">
        <w:rPr>
          <w:noProof/>
        </w:rPr>
        <w:t>24</w:t>
      </w:r>
    </w:p>
    <w:p w14:paraId="3286A8A5" w14:textId="05DECBD8" w:rsidR="00E0052F" w:rsidRDefault="00E0052F">
      <w:pPr>
        <w:pStyle w:val="11"/>
        <w:tabs>
          <w:tab w:val="right" w:leader="dot" w:pos="9061"/>
        </w:tabs>
        <w:rPr>
          <w:rFonts w:asciiTheme="minorHAnsi" w:hAnsiTheme="minorHAnsi" w:cstheme="minorBidi"/>
          <w:noProof/>
          <w:sz w:val="22"/>
          <w:szCs w:val="22"/>
        </w:rPr>
      </w:pPr>
      <w:r>
        <w:rPr>
          <w:noProof/>
        </w:rP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r>
        <w:rPr>
          <w:noProof/>
        </w:rPr>
        <w:tab/>
      </w:r>
      <w:r w:rsidR="001A16D6">
        <w:rPr>
          <w:noProof/>
        </w:rPr>
        <w:t>24</w:t>
      </w:r>
    </w:p>
    <w:p w14:paraId="73007FFB" w14:textId="03D59D14" w:rsidR="00E0052F" w:rsidRDefault="00E0052F">
      <w:pPr>
        <w:pStyle w:val="21"/>
        <w:tabs>
          <w:tab w:val="right" w:leader="dot" w:pos="9061"/>
        </w:tabs>
        <w:rPr>
          <w:rFonts w:asciiTheme="minorHAnsi" w:hAnsiTheme="minorHAnsi" w:cstheme="minorBidi"/>
          <w:noProof/>
          <w:sz w:val="22"/>
          <w:szCs w:val="22"/>
        </w:rPr>
      </w:pPr>
      <w:r>
        <w:rPr>
          <w:noProof/>
        </w:rPr>
        <w:t>2.1. Информация о лицах, входящих в состав органов управления эмитента</w:t>
      </w:r>
      <w:r>
        <w:rPr>
          <w:noProof/>
        </w:rPr>
        <w:tab/>
      </w:r>
      <w:r w:rsidR="001A16D6">
        <w:rPr>
          <w:noProof/>
        </w:rPr>
        <w:t>24</w:t>
      </w:r>
    </w:p>
    <w:p w14:paraId="753AA94E" w14:textId="0DD608B5" w:rsidR="00E0052F" w:rsidRDefault="00E0052F">
      <w:pPr>
        <w:pStyle w:val="21"/>
        <w:tabs>
          <w:tab w:val="right" w:leader="dot" w:pos="9061"/>
        </w:tabs>
        <w:rPr>
          <w:rFonts w:asciiTheme="minorHAnsi" w:hAnsiTheme="minorHAnsi" w:cstheme="minorBidi"/>
          <w:noProof/>
          <w:sz w:val="22"/>
          <w:szCs w:val="22"/>
        </w:rPr>
      </w:pPr>
      <w:r>
        <w:rPr>
          <w:noProof/>
        </w:rPr>
        <w:t>2.1.1. Состав совета директоров (наблюдательного совета) эмитента</w:t>
      </w:r>
      <w:r>
        <w:rPr>
          <w:noProof/>
        </w:rPr>
        <w:tab/>
      </w:r>
      <w:r w:rsidR="001A16D6">
        <w:rPr>
          <w:noProof/>
        </w:rPr>
        <w:t>25</w:t>
      </w:r>
    </w:p>
    <w:p w14:paraId="667E0F8B" w14:textId="16A3F97D" w:rsidR="00E0052F" w:rsidRDefault="00E0052F">
      <w:pPr>
        <w:pStyle w:val="21"/>
        <w:tabs>
          <w:tab w:val="right" w:leader="dot" w:pos="9061"/>
        </w:tabs>
        <w:rPr>
          <w:rFonts w:asciiTheme="minorHAnsi" w:hAnsiTheme="minorHAnsi" w:cstheme="minorBidi"/>
          <w:noProof/>
          <w:sz w:val="22"/>
          <w:szCs w:val="22"/>
        </w:rPr>
      </w:pPr>
      <w:r>
        <w:rPr>
          <w:noProof/>
        </w:rPr>
        <w:t>2.1.2. Информация о единоличном исполнительном органе эмитента</w:t>
      </w:r>
      <w:r>
        <w:rPr>
          <w:noProof/>
        </w:rPr>
        <w:tab/>
      </w:r>
      <w:r w:rsidR="001A16D6">
        <w:rPr>
          <w:noProof/>
        </w:rPr>
        <w:t>25</w:t>
      </w:r>
    </w:p>
    <w:p w14:paraId="0D272B3B" w14:textId="696594D3" w:rsidR="00E0052F" w:rsidRDefault="00E0052F">
      <w:pPr>
        <w:pStyle w:val="21"/>
        <w:tabs>
          <w:tab w:val="right" w:leader="dot" w:pos="9061"/>
        </w:tabs>
        <w:rPr>
          <w:rFonts w:asciiTheme="minorHAnsi" w:hAnsiTheme="minorHAnsi" w:cstheme="minorBidi"/>
          <w:noProof/>
          <w:sz w:val="22"/>
          <w:szCs w:val="22"/>
        </w:rPr>
      </w:pPr>
      <w:r>
        <w:rPr>
          <w:noProof/>
        </w:rPr>
        <w:t>2.1.3. Состав коллегиального исполнительного органа эмитента</w:t>
      </w:r>
      <w:r>
        <w:rPr>
          <w:noProof/>
        </w:rPr>
        <w:tab/>
      </w:r>
      <w:r w:rsidR="001A16D6">
        <w:rPr>
          <w:noProof/>
        </w:rPr>
        <w:t>25</w:t>
      </w:r>
    </w:p>
    <w:p w14:paraId="32B220D8" w14:textId="5ABC5B08" w:rsidR="00E0052F" w:rsidRDefault="00E0052F">
      <w:pPr>
        <w:pStyle w:val="21"/>
        <w:tabs>
          <w:tab w:val="right" w:leader="dot" w:pos="9061"/>
        </w:tabs>
        <w:rPr>
          <w:rFonts w:asciiTheme="minorHAnsi" w:hAnsiTheme="minorHAnsi" w:cstheme="minorBidi"/>
          <w:noProof/>
          <w:sz w:val="22"/>
          <w:szCs w:val="22"/>
        </w:rPr>
      </w:pPr>
      <w:r>
        <w:rPr>
          <w:noProof/>
        </w:rP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r>
        <w:rPr>
          <w:noProof/>
        </w:rPr>
        <w:tab/>
      </w:r>
      <w:r w:rsidR="001A16D6">
        <w:rPr>
          <w:noProof/>
        </w:rPr>
        <w:t>25</w:t>
      </w:r>
    </w:p>
    <w:p w14:paraId="76A2D0F6" w14:textId="74572E0D" w:rsidR="00E0052F" w:rsidRDefault="00E0052F">
      <w:pPr>
        <w:pStyle w:val="21"/>
        <w:tabs>
          <w:tab w:val="right" w:leader="dot" w:pos="9061"/>
        </w:tabs>
        <w:rPr>
          <w:rFonts w:asciiTheme="minorHAnsi" w:hAnsiTheme="minorHAnsi" w:cstheme="minorBidi"/>
          <w:noProof/>
          <w:sz w:val="22"/>
          <w:szCs w:val="22"/>
        </w:rPr>
      </w:pPr>
      <w:r>
        <w:rPr>
          <w:noProof/>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r>
        <w:rPr>
          <w:noProof/>
        </w:rPr>
        <w:tab/>
      </w:r>
      <w:r w:rsidR="001A16D6">
        <w:rPr>
          <w:noProof/>
        </w:rPr>
        <w:t>26</w:t>
      </w:r>
    </w:p>
    <w:p w14:paraId="5F376D0B" w14:textId="5B1A4AE6" w:rsidR="00E0052F" w:rsidRDefault="00E0052F">
      <w:pPr>
        <w:pStyle w:val="21"/>
        <w:tabs>
          <w:tab w:val="right" w:leader="dot" w:pos="9061"/>
        </w:tabs>
        <w:rPr>
          <w:rFonts w:asciiTheme="minorHAnsi" w:hAnsiTheme="minorHAnsi" w:cstheme="minorBidi"/>
          <w:noProof/>
          <w:sz w:val="22"/>
          <w:szCs w:val="22"/>
        </w:rPr>
      </w:pPr>
      <w:r>
        <w:rPr>
          <w:noProof/>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r>
        <w:rPr>
          <w:noProof/>
        </w:rPr>
        <w:tab/>
      </w:r>
      <w:r w:rsidR="001A16D6">
        <w:rPr>
          <w:noProof/>
        </w:rPr>
        <w:t>26</w:t>
      </w:r>
    </w:p>
    <w:p w14:paraId="6C5F2C9D" w14:textId="6A5EE462" w:rsidR="00E0052F" w:rsidRDefault="00E0052F">
      <w:pPr>
        <w:pStyle w:val="21"/>
        <w:tabs>
          <w:tab w:val="right" w:leader="dot" w:pos="9061"/>
        </w:tabs>
        <w:rPr>
          <w:rFonts w:asciiTheme="minorHAnsi" w:hAnsiTheme="minorHAnsi" w:cstheme="minorBidi"/>
          <w:noProof/>
          <w:sz w:val="22"/>
          <w:szCs w:val="22"/>
        </w:rPr>
      </w:pPr>
      <w:r>
        <w:rPr>
          <w:noProof/>
        </w:rP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r>
        <w:rPr>
          <w:noProof/>
        </w:rPr>
        <w:tab/>
      </w:r>
      <w:r w:rsidR="001A16D6">
        <w:rPr>
          <w:noProof/>
        </w:rPr>
        <w:t>26</w:t>
      </w:r>
    </w:p>
    <w:p w14:paraId="1A3F7946" w14:textId="6A43FF53" w:rsidR="00E0052F" w:rsidRDefault="00E0052F">
      <w:pPr>
        <w:pStyle w:val="11"/>
        <w:tabs>
          <w:tab w:val="right" w:leader="dot" w:pos="9061"/>
        </w:tabs>
        <w:rPr>
          <w:rFonts w:asciiTheme="minorHAnsi" w:hAnsiTheme="minorHAnsi" w:cstheme="minorBidi"/>
          <w:noProof/>
          <w:sz w:val="22"/>
          <w:szCs w:val="22"/>
        </w:rPr>
      </w:pPr>
      <w:r>
        <w:rPr>
          <w:noProof/>
        </w:rP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r>
        <w:rPr>
          <w:noProof/>
        </w:rPr>
        <w:tab/>
      </w:r>
      <w:r w:rsidR="001A16D6">
        <w:rPr>
          <w:noProof/>
        </w:rPr>
        <w:t>30</w:t>
      </w:r>
    </w:p>
    <w:p w14:paraId="101C3E2F" w14:textId="62E5E205" w:rsidR="00E0052F" w:rsidRDefault="00E0052F">
      <w:pPr>
        <w:pStyle w:val="21"/>
        <w:tabs>
          <w:tab w:val="right" w:leader="dot" w:pos="9061"/>
        </w:tabs>
        <w:rPr>
          <w:rFonts w:asciiTheme="minorHAnsi" w:hAnsiTheme="minorHAnsi" w:cstheme="minorBidi"/>
          <w:noProof/>
          <w:sz w:val="22"/>
          <w:szCs w:val="22"/>
        </w:rPr>
      </w:pPr>
      <w:r>
        <w:rPr>
          <w:noProof/>
        </w:rPr>
        <w:t>3.1. Сведения об общем количестве акционеров (участников, членов) эмитента</w:t>
      </w:r>
      <w:r>
        <w:rPr>
          <w:noProof/>
        </w:rPr>
        <w:tab/>
      </w:r>
      <w:r w:rsidR="001A16D6">
        <w:rPr>
          <w:noProof/>
        </w:rPr>
        <w:t>30</w:t>
      </w:r>
    </w:p>
    <w:p w14:paraId="268A5D0E" w14:textId="409B0853" w:rsidR="00E0052F" w:rsidRDefault="00E0052F">
      <w:pPr>
        <w:pStyle w:val="21"/>
        <w:tabs>
          <w:tab w:val="right" w:leader="dot" w:pos="9061"/>
        </w:tabs>
        <w:rPr>
          <w:rFonts w:asciiTheme="minorHAnsi" w:hAnsiTheme="minorHAnsi" w:cstheme="minorBidi"/>
          <w:noProof/>
          <w:sz w:val="22"/>
          <w:szCs w:val="22"/>
        </w:rPr>
      </w:pPr>
      <w:r>
        <w:rPr>
          <w:noProof/>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r>
        <w:rPr>
          <w:noProof/>
        </w:rPr>
        <w:tab/>
      </w:r>
      <w:r w:rsidR="001A16D6">
        <w:rPr>
          <w:noProof/>
        </w:rPr>
        <w:t>30</w:t>
      </w:r>
    </w:p>
    <w:p w14:paraId="25209C9B" w14:textId="6050654B" w:rsidR="00E0052F" w:rsidRDefault="00E0052F">
      <w:pPr>
        <w:pStyle w:val="21"/>
        <w:tabs>
          <w:tab w:val="right" w:leader="dot" w:pos="9061"/>
        </w:tabs>
        <w:rPr>
          <w:rFonts w:asciiTheme="minorHAnsi" w:hAnsiTheme="minorHAnsi" w:cstheme="minorBidi"/>
          <w:noProof/>
          <w:sz w:val="22"/>
          <w:szCs w:val="22"/>
        </w:rPr>
      </w:pPr>
      <w:r>
        <w:rPr>
          <w:noProof/>
        </w:rPr>
        <w:t xml:space="preserve">3.3. Сведения о доле участия Российской Федерации, субъекта Российской Федерации или </w:t>
      </w:r>
      <w:r>
        <w:rPr>
          <w:noProof/>
        </w:rPr>
        <w:lastRenderedPageBreak/>
        <w:t>муниципального образования в уставном капитале эмитента, наличии специального права (золотой акции)</w:t>
      </w:r>
      <w:r>
        <w:rPr>
          <w:noProof/>
        </w:rPr>
        <w:tab/>
      </w:r>
      <w:r w:rsidR="001A16D6">
        <w:rPr>
          <w:noProof/>
        </w:rPr>
        <w:t>31</w:t>
      </w:r>
    </w:p>
    <w:p w14:paraId="6F24BAD3" w14:textId="29FCF7EE" w:rsidR="00E0052F" w:rsidRDefault="00E0052F">
      <w:pPr>
        <w:pStyle w:val="21"/>
        <w:tabs>
          <w:tab w:val="right" w:leader="dot" w:pos="9061"/>
        </w:tabs>
        <w:rPr>
          <w:rFonts w:asciiTheme="minorHAnsi" w:hAnsiTheme="minorHAnsi" w:cstheme="minorBidi"/>
          <w:noProof/>
          <w:sz w:val="22"/>
          <w:szCs w:val="22"/>
        </w:rPr>
      </w:pPr>
      <w:r>
        <w:rPr>
          <w:noProof/>
        </w:rPr>
        <w:t>3.4. Сделки эмитента, в совершении которых имелась заинтересованность</w:t>
      </w:r>
      <w:r>
        <w:rPr>
          <w:noProof/>
        </w:rPr>
        <w:tab/>
      </w:r>
      <w:r w:rsidR="001A16D6">
        <w:rPr>
          <w:noProof/>
        </w:rPr>
        <w:t>31</w:t>
      </w:r>
    </w:p>
    <w:p w14:paraId="6F202CA8" w14:textId="7A625260" w:rsidR="00E0052F" w:rsidRDefault="00E0052F">
      <w:pPr>
        <w:pStyle w:val="21"/>
        <w:tabs>
          <w:tab w:val="right" w:leader="dot" w:pos="9061"/>
        </w:tabs>
        <w:rPr>
          <w:rFonts w:asciiTheme="minorHAnsi" w:hAnsiTheme="minorHAnsi" w:cstheme="minorBidi"/>
          <w:noProof/>
          <w:sz w:val="22"/>
          <w:szCs w:val="22"/>
        </w:rPr>
      </w:pPr>
      <w:r>
        <w:rPr>
          <w:noProof/>
        </w:rPr>
        <w:t>3.5. Крупные сделки эмитента</w:t>
      </w:r>
      <w:r>
        <w:rPr>
          <w:noProof/>
        </w:rPr>
        <w:tab/>
      </w:r>
      <w:r w:rsidR="001A16D6">
        <w:rPr>
          <w:noProof/>
        </w:rPr>
        <w:t>31</w:t>
      </w:r>
    </w:p>
    <w:p w14:paraId="405E1A8C" w14:textId="54286A27" w:rsidR="00E0052F" w:rsidRDefault="00E0052F">
      <w:pPr>
        <w:pStyle w:val="11"/>
        <w:tabs>
          <w:tab w:val="right" w:leader="dot" w:pos="9061"/>
        </w:tabs>
        <w:rPr>
          <w:rFonts w:asciiTheme="minorHAnsi" w:hAnsiTheme="minorHAnsi" w:cstheme="minorBidi"/>
          <w:noProof/>
          <w:sz w:val="22"/>
          <w:szCs w:val="22"/>
        </w:rPr>
      </w:pPr>
      <w:r>
        <w:rPr>
          <w:noProof/>
        </w:rPr>
        <w:t>Раздел 4. Дополнительные сведения об эмитенте и о размещенных им ценных бумагах</w:t>
      </w:r>
      <w:r>
        <w:rPr>
          <w:noProof/>
        </w:rPr>
        <w:tab/>
      </w:r>
      <w:r w:rsidR="001A16D6">
        <w:rPr>
          <w:noProof/>
        </w:rPr>
        <w:t>31</w:t>
      </w:r>
    </w:p>
    <w:p w14:paraId="752D4DE3" w14:textId="7329C436" w:rsidR="00E0052F" w:rsidRDefault="00E0052F">
      <w:pPr>
        <w:pStyle w:val="21"/>
        <w:tabs>
          <w:tab w:val="right" w:leader="dot" w:pos="9061"/>
        </w:tabs>
        <w:rPr>
          <w:rFonts w:asciiTheme="minorHAnsi" w:hAnsiTheme="minorHAnsi" w:cstheme="minorBidi"/>
          <w:noProof/>
          <w:sz w:val="22"/>
          <w:szCs w:val="22"/>
        </w:rPr>
      </w:pPr>
      <w:r>
        <w:rPr>
          <w:noProof/>
        </w:rPr>
        <w:t>4.1. Подконтрольные эмитенту организации, имеющие для него существенное значение</w:t>
      </w:r>
      <w:r>
        <w:rPr>
          <w:noProof/>
        </w:rPr>
        <w:tab/>
      </w:r>
      <w:r w:rsidR="001A16D6">
        <w:rPr>
          <w:noProof/>
        </w:rPr>
        <w:t>31</w:t>
      </w:r>
    </w:p>
    <w:p w14:paraId="66120648" w14:textId="15398C42" w:rsidR="00E0052F" w:rsidRDefault="00E0052F">
      <w:pPr>
        <w:pStyle w:val="21"/>
        <w:tabs>
          <w:tab w:val="right" w:leader="dot" w:pos="9061"/>
        </w:tabs>
        <w:rPr>
          <w:rFonts w:asciiTheme="minorHAnsi" w:hAnsiTheme="minorHAnsi" w:cstheme="minorBidi"/>
          <w:noProof/>
          <w:sz w:val="22"/>
          <w:szCs w:val="22"/>
        </w:rPr>
      </w:pPr>
      <w:r>
        <w:rPr>
          <w:noProof/>
        </w:rPr>
        <w:t>4.2. Дополнительные сведения, раскрываемые эмитентами облигаций с целевым использованием денежных средств, полученных от их размещения</w:t>
      </w:r>
      <w:r>
        <w:rPr>
          <w:noProof/>
        </w:rPr>
        <w:tab/>
      </w:r>
      <w:r w:rsidR="001A16D6">
        <w:rPr>
          <w:noProof/>
        </w:rPr>
        <w:t>31</w:t>
      </w:r>
    </w:p>
    <w:p w14:paraId="5C87EC12" w14:textId="2063D77B" w:rsidR="00E0052F" w:rsidRDefault="00E0052F">
      <w:pPr>
        <w:pStyle w:val="21"/>
        <w:tabs>
          <w:tab w:val="right" w:leader="dot" w:pos="9061"/>
        </w:tabs>
        <w:rPr>
          <w:rFonts w:asciiTheme="minorHAnsi" w:hAnsiTheme="minorHAnsi" w:cstheme="minorBidi"/>
          <w:noProof/>
          <w:sz w:val="22"/>
          <w:szCs w:val="22"/>
        </w:rPr>
      </w:pPr>
      <w:r>
        <w:rPr>
          <w:noProof/>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1A16D6">
        <w:rPr>
          <w:noProof/>
        </w:rPr>
        <w:t>32</w:t>
      </w:r>
    </w:p>
    <w:p w14:paraId="6578484D" w14:textId="56A622DA" w:rsidR="00E0052F" w:rsidRDefault="00E0052F">
      <w:pPr>
        <w:pStyle w:val="21"/>
        <w:tabs>
          <w:tab w:val="right" w:leader="dot" w:pos="9061"/>
        </w:tabs>
        <w:rPr>
          <w:rFonts w:asciiTheme="minorHAnsi" w:hAnsiTheme="minorHAnsi" w:cstheme="minorBidi"/>
          <w:noProof/>
          <w:sz w:val="22"/>
          <w:szCs w:val="22"/>
        </w:rPr>
      </w:pPr>
      <w:r>
        <w:rPr>
          <w:noProof/>
        </w:rPr>
        <w:t>4.3.1. Дополнительные сведения об ипотечном покрытии по облигациям эмитента с ипотечным покрытием</w:t>
      </w:r>
      <w:r>
        <w:rPr>
          <w:noProof/>
        </w:rPr>
        <w:tab/>
      </w:r>
      <w:r w:rsidR="001A16D6">
        <w:rPr>
          <w:noProof/>
        </w:rPr>
        <w:t>32</w:t>
      </w:r>
    </w:p>
    <w:p w14:paraId="527AA30A" w14:textId="2BFE232F" w:rsidR="00E0052F" w:rsidRDefault="00E0052F">
      <w:pPr>
        <w:pStyle w:val="21"/>
        <w:tabs>
          <w:tab w:val="right" w:leader="dot" w:pos="9061"/>
        </w:tabs>
        <w:rPr>
          <w:rFonts w:asciiTheme="minorHAnsi" w:hAnsiTheme="minorHAnsi" w:cstheme="minorBidi"/>
          <w:noProof/>
          <w:sz w:val="22"/>
          <w:szCs w:val="22"/>
        </w:rPr>
      </w:pPr>
      <w:r>
        <w:rPr>
          <w:noProof/>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1A16D6">
        <w:rPr>
          <w:noProof/>
        </w:rPr>
        <w:t>32</w:t>
      </w:r>
    </w:p>
    <w:p w14:paraId="45CD9425" w14:textId="66E4E483" w:rsidR="00E0052F" w:rsidRDefault="00E0052F">
      <w:pPr>
        <w:pStyle w:val="21"/>
        <w:tabs>
          <w:tab w:val="right" w:leader="dot" w:pos="9061"/>
        </w:tabs>
        <w:rPr>
          <w:rFonts w:asciiTheme="minorHAnsi" w:hAnsiTheme="minorHAnsi" w:cstheme="minorBidi"/>
          <w:noProof/>
          <w:sz w:val="22"/>
          <w:szCs w:val="22"/>
        </w:rPr>
      </w:pPr>
      <w:r>
        <w:rPr>
          <w:noProof/>
        </w:rPr>
        <w:t>4.4. Сведения об объявленных и выплаченных дивидендах по акциям эмитента</w:t>
      </w:r>
      <w:r>
        <w:rPr>
          <w:noProof/>
        </w:rPr>
        <w:tab/>
      </w:r>
      <w:r w:rsidR="001A16D6">
        <w:rPr>
          <w:noProof/>
        </w:rPr>
        <w:t>32</w:t>
      </w:r>
    </w:p>
    <w:p w14:paraId="7AB91D4A" w14:textId="5D55A737" w:rsidR="00E0052F" w:rsidRDefault="00E0052F">
      <w:pPr>
        <w:pStyle w:val="21"/>
        <w:tabs>
          <w:tab w:val="right" w:leader="dot" w:pos="9061"/>
        </w:tabs>
        <w:rPr>
          <w:rFonts w:asciiTheme="minorHAnsi" w:hAnsiTheme="minorHAnsi" w:cstheme="minorBidi"/>
          <w:noProof/>
          <w:sz w:val="22"/>
          <w:szCs w:val="22"/>
        </w:rPr>
      </w:pPr>
      <w:r>
        <w:rPr>
          <w:noProof/>
        </w:rPr>
        <w:t>4.5. Сведения об организациях, осуществляющих учет прав на эмиссионные ценные бумаги эмитента</w:t>
      </w:r>
      <w:r>
        <w:rPr>
          <w:noProof/>
        </w:rPr>
        <w:tab/>
      </w:r>
      <w:r w:rsidR="00342B1A">
        <w:rPr>
          <w:noProof/>
        </w:rPr>
        <w:t>32</w:t>
      </w:r>
    </w:p>
    <w:p w14:paraId="2AA59586" w14:textId="53CD720A" w:rsidR="00E0052F" w:rsidRDefault="00E0052F">
      <w:pPr>
        <w:pStyle w:val="21"/>
        <w:tabs>
          <w:tab w:val="right" w:leader="dot" w:pos="9061"/>
        </w:tabs>
        <w:rPr>
          <w:rFonts w:asciiTheme="minorHAnsi" w:hAnsiTheme="minorHAnsi" w:cstheme="minorBidi"/>
          <w:noProof/>
          <w:sz w:val="22"/>
          <w:szCs w:val="22"/>
        </w:rPr>
      </w:pPr>
      <w:r>
        <w:rPr>
          <w:noProof/>
        </w:rPr>
        <w:t>4.5.1. Сведения о регистраторе, осуществляющем ведение реестра владельцев ценных бумаг эмитента</w:t>
      </w:r>
      <w:r>
        <w:rPr>
          <w:noProof/>
        </w:rPr>
        <w:tab/>
      </w:r>
      <w:r w:rsidR="00342B1A">
        <w:rPr>
          <w:noProof/>
        </w:rPr>
        <w:t>32</w:t>
      </w:r>
    </w:p>
    <w:p w14:paraId="2D65F00D" w14:textId="52A3E767" w:rsidR="00E0052F" w:rsidRDefault="00E0052F">
      <w:pPr>
        <w:pStyle w:val="21"/>
        <w:tabs>
          <w:tab w:val="right" w:leader="dot" w:pos="9061"/>
        </w:tabs>
        <w:rPr>
          <w:rFonts w:asciiTheme="minorHAnsi" w:hAnsiTheme="minorHAnsi" w:cstheme="minorBidi"/>
          <w:noProof/>
          <w:sz w:val="22"/>
          <w:szCs w:val="22"/>
        </w:rPr>
      </w:pPr>
      <w:r>
        <w:rPr>
          <w:noProof/>
        </w:rPr>
        <w:t>4.5.2. Сведения о депозитарии, осуществляющем централизованный учет прав на ценные бумаги эмитента</w:t>
      </w:r>
      <w:r>
        <w:rPr>
          <w:noProof/>
        </w:rPr>
        <w:tab/>
      </w:r>
      <w:r w:rsidR="00342B1A">
        <w:rPr>
          <w:noProof/>
        </w:rPr>
        <w:t>33</w:t>
      </w:r>
    </w:p>
    <w:p w14:paraId="3AB6E94E" w14:textId="679B16F7" w:rsidR="00E0052F" w:rsidRDefault="00E0052F">
      <w:pPr>
        <w:pStyle w:val="21"/>
        <w:tabs>
          <w:tab w:val="right" w:leader="dot" w:pos="9061"/>
        </w:tabs>
        <w:rPr>
          <w:rFonts w:asciiTheme="minorHAnsi" w:hAnsiTheme="minorHAnsi" w:cstheme="minorBidi"/>
          <w:noProof/>
          <w:sz w:val="22"/>
          <w:szCs w:val="22"/>
        </w:rPr>
      </w:pPr>
      <w:r>
        <w:rPr>
          <w:noProof/>
        </w:rPr>
        <w:t>4.6. Информация об аудиторе эмитента</w:t>
      </w:r>
      <w:r>
        <w:rPr>
          <w:noProof/>
        </w:rPr>
        <w:tab/>
      </w:r>
      <w:r w:rsidR="00342B1A">
        <w:rPr>
          <w:noProof/>
        </w:rPr>
        <w:t>33</w:t>
      </w:r>
    </w:p>
    <w:p w14:paraId="16213339" w14:textId="3EDA5A35" w:rsidR="00E0052F" w:rsidRDefault="00E0052F">
      <w:pPr>
        <w:pStyle w:val="11"/>
        <w:tabs>
          <w:tab w:val="right" w:leader="dot" w:pos="9061"/>
        </w:tabs>
        <w:rPr>
          <w:rFonts w:asciiTheme="minorHAnsi" w:hAnsiTheme="minorHAnsi" w:cstheme="minorBidi"/>
          <w:noProof/>
          <w:sz w:val="22"/>
          <w:szCs w:val="22"/>
        </w:rPr>
      </w:pPr>
      <w:r>
        <w:rPr>
          <w:noProof/>
        </w:rPr>
        <w:t>Раздел 5. Консолидированная финансовая отчетность (финансовая отчетность), бухгалтерская (финансовая) отчетность эмитента</w:t>
      </w:r>
      <w:r>
        <w:rPr>
          <w:noProof/>
        </w:rPr>
        <w:tab/>
      </w:r>
      <w:r w:rsidR="007A4942">
        <w:rPr>
          <w:noProof/>
        </w:rPr>
        <w:t>38</w:t>
      </w:r>
    </w:p>
    <w:p w14:paraId="12B6DC0A" w14:textId="36920E6D" w:rsidR="00E0052F" w:rsidRDefault="00E0052F">
      <w:pPr>
        <w:pStyle w:val="21"/>
        <w:tabs>
          <w:tab w:val="right" w:leader="dot" w:pos="9061"/>
        </w:tabs>
        <w:rPr>
          <w:rFonts w:asciiTheme="minorHAnsi" w:hAnsiTheme="minorHAnsi" w:cstheme="minorBidi"/>
          <w:noProof/>
          <w:sz w:val="22"/>
          <w:szCs w:val="22"/>
        </w:rPr>
      </w:pPr>
      <w:r>
        <w:rPr>
          <w:noProof/>
        </w:rPr>
        <w:t>5.1. Консолидированная финансовая отчетность (финансовая отчетность) эмитента</w:t>
      </w:r>
      <w:r>
        <w:rPr>
          <w:noProof/>
        </w:rPr>
        <w:tab/>
      </w:r>
      <w:r w:rsidR="007A4942">
        <w:rPr>
          <w:noProof/>
        </w:rPr>
        <w:t>38</w:t>
      </w:r>
    </w:p>
    <w:p w14:paraId="0C24264E" w14:textId="3AC374E7" w:rsidR="00E0052F" w:rsidRDefault="00E0052F">
      <w:pPr>
        <w:pStyle w:val="21"/>
        <w:tabs>
          <w:tab w:val="right" w:leader="dot" w:pos="9061"/>
        </w:tabs>
        <w:rPr>
          <w:rFonts w:asciiTheme="minorHAnsi" w:hAnsiTheme="minorHAnsi" w:cstheme="minorBidi"/>
          <w:noProof/>
          <w:sz w:val="22"/>
          <w:szCs w:val="22"/>
        </w:rPr>
      </w:pPr>
      <w:r>
        <w:rPr>
          <w:noProof/>
        </w:rPr>
        <w:t>5.2. Бухгалтерская (финансовая) отчетность</w:t>
      </w:r>
      <w:r>
        <w:rPr>
          <w:noProof/>
        </w:rPr>
        <w:tab/>
      </w:r>
      <w:r w:rsidR="007A4942">
        <w:rPr>
          <w:noProof/>
        </w:rPr>
        <w:t>38</w:t>
      </w:r>
    </w:p>
    <w:p w14:paraId="0FB6D62B" w14:textId="61DE3A6D" w:rsidR="00294767" w:rsidRDefault="00E01351">
      <w:pPr>
        <w:pStyle w:val="1"/>
      </w:pPr>
      <w:r>
        <w:fldChar w:fldCharType="end"/>
      </w:r>
      <w:r>
        <w:br w:type="page"/>
      </w:r>
      <w:bookmarkStart w:id="2" w:name="_Toc133918753"/>
      <w:r>
        <w:lastRenderedPageBreak/>
        <w:t>Введение</w:t>
      </w:r>
      <w:bookmarkEnd w:id="2"/>
    </w:p>
    <w:p w14:paraId="7442EA96" w14:textId="77777777" w:rsidR="00294767" w:rsidRDefault="00E01351">
      <w:r>
        <w:t>Информация, содержащаяся в отчете эмитента, подлежит раскрытию в соответствии с пунктом 4 статьи 30 Федерального закона "О рынке ценных бумаг"</w:t>
      </w:r>
    </w:p>
    <w:p w14:paraId="462E7AD2" w14:textId="77777777" w:rsidR="00294767" w:rsidRDefault="00E01351" w:rsidP="0019031F">
      <w:pPr>
        <w:pStyle w:val="SubHeading"/>
        <w:jc w:val="both"/>
      </w:pPr>
      <w:r>
        <w:t>Основания возникновения у эмитента обязанности осуществлять раскрытие информации в форме отчета эмитента</w:t>
      </w:r>
    </w:p>
    <w:p w14:paraId="002AADB9" w14:textId="77777777" w:rsidR="00294767" w:rsidRDefault="00E01351" w:rsidP="0019031F">
      <w:pPr>
        <w:ind w:left="200"/>
        <w:jc w:val="both"/>
      </w:pPr>
      <w:r>
        <w:rPr>
          <w:rStyle w:val="Subst"/>
        </w:rPr>
        <w:t>В отношении ценных бумаг эмитента осуществлена регистрация проспекта ценных бумаг</w:t>
      </w:r>
    </w:p>
    <w:p w14:paraId="0057471C" w14:textId="77777777" w:rsidR="00294767" w:rsidRDefault="00294767" w:rsidP="0019031F">
      <w:pPr>
        <w:ind w:left="200"/>
        <w:jc w:val="both"/>
      </w:pPr>
    </w:p>
    <w:p w14:paraId="2F4FB9CB" w14:textId="77777777" w:rsidR="00294767" w:rsidRDefault="00E01351" w:rsidP="0019031F">
      <w:pPr>
        <w:ind w:left="200"/>
        <w:jc w:val="both"/>
      </w:pPr>
      <w:r>
        <w:rPr>
          <w:rStyle w:val="Subst"/>
        </w:rPr>
        <w:t>Биржевые облигации эмитента допущены к организованным торгам на бирже с представлением бирже проспекта биржевых облигаций для такого допуска</w:t>
      </w:r>
    </w:p>
    <w:p w14:paraId="20976093" w14:textId="77777777" w:rsidR="00294767" w:rsidRDefault="00294767" w:rsidP="0019031F">
      <w:pPr>
        <w:ind w:left="200"/>
        <w:jc w:val="both"/>
      </w:pPr>
    </w:p>
    <w:p w14:paraId="6A60B24A" w14:textId="77777777" w:rsidR="00294767" w:rsidRDefault="00294767" w:rsidP="0019031F">
      <w:pPr>
        <w:ind w:left="200"/>
        <w:jc w:val="both"/>
      </w:pPr>
    </w:p>
    <w:p w14:paraId="1AA4C300" w14:textId="77777777" w:rsidR="00294767" w:rsidRDefault="00E01351" w:rsidP="0019031F">
      <w:pPr>
        <w:jc w:val="both"/>
      </w:pPr>
      <w:r>
        <w:t>Сведения об отчетности, которая (ссылка на которую) содержится в отчете эмитента и на основании которой в отчете эмитента раскрывается информация о финансово-хозяйственной деятельности эмитента:</w:t>
      </w:r>
    </w:p>
    <w:p w14:paraId="3DD98767" w14:textId="77777777" w:rsidR="00294767" w:rsidRDefault="00E01351" w:rsidP="0019031F">
      <w:pPr>
        <w:jc w:val="both"/>
        <w:rPr>
          <w:rStyle w:val="Subst"/>
        </w:rPr>
      </w:pPr>
      <w:r>
        <w:rPr>
          <w:rStyle w:val="Subst"/>
        </w:rPr>
        <w:t>В отчёте содержится ссылка на отчетность следующего вида: финансовая отчетность, на основании которой в отчете эмитента раскрывается информация о финансово-хозяйственной деятельности эмитента</w:t>
      </w:r>
    </w:p>
    <w:p w14:paraId="5D2C614B" w14:textId="77777777" w:rsidR="00294767" w:rsidRDefault="00294767" w:rsidP="0019031F">
      <w:pPr>
        <w:pStyle w:val="ThinDelim"/>
        <w:jc w:val="both"/>
      </w:pPr>
    </w:p>
    <w:p w14:paraId="0A9D6326" w14:textId="77777777" w:rsidR="00294767" w:rsidRDefault="00E01351" w:rsidP="0019031F">
      <w:pPr>
        <w:jc w:val="both"/>
      </w:pPr>
      <w:r>
        <w:t>финансовая отчетность, на основании которой в настоящем отчете эмитента раскрыта информация о финансово-хозяйственной деятельности эмитента и лица, предоставляющего (предоставившего) обеспечение по облигациям эмитента, дает объективное и достоверное представление об активах, обязательствах, финансовом состоянии, прибыли или убытке эмитента и лица, предоставляющего (предоставившего) обеспечение по облигациям эмитента. Информация о финансовом состоянии и результатах деятельности эмитента и лица, предоставляющего (предоставившего) обеспечение по облигациям эмитента содержит достоверное представление о деятельности эмитента и лица, предоставляющего (предоставившего) обеспечение по облигациям эмитента, а также об основных рисках, связанных с их деятельностью.</w:t>
      </w:r>
    </w:p>
    <w:p w14:paraId="52F167AB" w14:textId="77777777" w:rsidR="00294767" w:rsidRDefault="00E01351" w:rsidP="0019031F">
      <w:pPr>
        <w:jc w:val="both"/>
      </w:pPr>
      <w:r>
        <w:t>Настоящий отчет эмитента содержит оценки и прогнозы в отношении будущих событий и (или) действий, перспектив развития отрасли экономики, в которой эмитент и лицо, предоставляющее (предоставившее) обеспечение по облигациям эмитента, осуществляют основную деятельность, и результатов деятельности эмитента и лица, предоставляющего (предоставившего) обеспечение по облигациям эмитента, их планов, вероятности наступления определенных событий и совершения определенных действий.</w:t>
      </w:r>
      <w:r>
        <w:br/>
        <w:t>Инвесторы не должны полностью полагаться на оценки и прогнозы, приведенные в настоящем отчете эмитента, так как фактические результаты деятельности эмитента и лица, предоставляющего (предоставившего) обеспечение по облигациям эмитента в будущем могут отличаться от прогнозируемых результатов по многим причинам. Приобретение ценных бумаг эмитента связано с рисками, в том числе описанными в настоящем отчете эмитента.</w:t>
      </w:r>
    </w:p>
    <w:p w14:paraId="1222F42C" w14:textId="77777777" w:rsidR="00294767" w:rsidRDefault="00E01351">
      <w:r>
        <w:t>Иная информация, которая, по мнению эмитента, будет полезна для заинтересованных лиц при принятии ими экономических решений:</w:t>
      </w:r>
      <w:r>
        <w:br/>
      </w:r>
      <w:r>
        <w:rPr>
          <w:rStyle w:val="Subst"/>
        </w:rPr>
        <w:br/>
        <w:t xml:space="preserve">        </w:t>
      </w:r>
    </w:p>
    <w:p w14:paraId="61FE08C9" w14:textId="77777777" w:rsidR="00294767" w:rsidRDefault="00E01351">
      <w:pPr>
        <w:pStyle w:val="1"/>
      </w:pPr>
      <w:bookmarkStart w:id="3" w:name="_Toc133918754"/>
      <w:r>
        <w:t>Раздел 1. Управленческий отчет эмитента</w:t>
      </w:r>
      <w:bookmarkEnd w:id="3"/>
    </w:p>
    <w:p w14:paraId="69A3E7D3" w14:textId="77777777" w:rsidR="00294767" w:rsidRDefault="00E01351">
      <w:pPr>
        <w:pStyle w:val="2"/>
      </w:pPr>
      <w:bookmarkStart w:id="4" w:name="_Toc133918755"/>
      <w:r>
        <w:t>1.1. Общие сведения об эмитенте и его деятельности</w:t>
      </w:r>
      <w:bookmarkEnd w:id="4"/>
    </w:p>
    <w:p w14:paraId="50017D91" w14:textId="77777777" w:rsidR="00294767" w:rsidRDefault="00E01351" w:rsidP="0019031F">
      <w:pPr>
        <w:ind w:left="200"/>
        <w:jc w:val="both"/>
      </w:pPr>
      <w:r>
        <w:t>Полное фирменное наименование эмитента:</w:t>
      </w:r>
      <w:r>
        <w:rPr>
          <w:rStyle w:val="Subst"/>
        </w:rPr>
        <w:t xml:space="preserve"> Акционерное общество «Новая перевозочная компания»</w:t>
      </w:r>
    </w:p>
    <w:p w14:paraId="643AFD70" w14:textId="77777777" w:rsidR="00294767" w:rsidRDefault="00E01351" w:rsidP="0019031F">
      <w:pPr>
        <w:ind w:left="200"/>
        <w:jc w:val="both"/>
      </w:pPr>
      <w:r>
        <w:t>Сокращенное фирменное наименование эмитента:</w:t>
      </w:r>
      <w:r>
        <w:rPr>
          <w:rStyle w:val="Subst"/>
        </w:rPr>
        <w:t xml:space="preserve"> АО «НПК»</w:t>
      </w:r>
    </w:p>
    <w:p w14:paraId="4619A2C1" w14:textId="77777777" w:rsidR="00294767" w:rsidRDefault="00294767" w:rsidP="0019031F">
      <w:pPr>
        <w:ind w:left="200"/>
        <w:jc w:val="both"/>
      </w:pPr>
    </w:p>
    <w:p w14:paraId="6085A39F" w14:textId="77777777" w:rsidR="00294767" w:rsidRDefault="00E01351" w:rsidP="0019031F">
      <w:pPr>
        <w:ind w:left="200"/>
        <w:jc w:val="both"/>
      </w:pPr>
      <w:r>
        <w:rPr>
          <w:rStyle w:val="Subst"/>
        </w:rPr>
        <w:t>В уставе эмитента зарегистрировано наименование на иностранном языке</w:t>
      </w:r>
    </w:p>
    <w:p w14:paraId="01E2FEFB" w14:textId="77777777" w:rsidR="00294767" w:rsidRDefault="00E01351" w:rsidP="0019031F">
      <w:pPr>
        <w:pStyle w:val="SubHeading"/>
        <w:ind w:left="200"/>
        <w:jc w:val="both"/>
      </w:pPr>
      <w:r>
        <w:t>Наименования эмитента на иностранном языке</w:t>
      </w:r>
    </w:p>
    <w:p w14:paraId="7C5C8C17" w14:textId="77777777" w:rsidR="00294767" w:rsidRDefault="00E01351" w:rsidP="0019031F">
      <w:pPr>
        <w:ind w:left="400"/>
        <w:jc w:val="both"/>
      </w:pPr>
      <w:r>
        <w:t>Наименование эмитента на иностранном языке:</w:t>
      </w:r>
      <w:r>
        <w:rPr>
          <w:rStyle w:val="Subst"/>
        </w:rPr>
        <w:t xml:space="preserve"> Joint-Stock Company "New forwarding company", JSC "NFC"</w:t>
      </w:r>
    </w:p>
    <w:p w14:paraId="0577554F" w14:textId="77777777" w:rsidR="00294767" w:rsidRDefault="00294767">
      <w:pPr>
        <w:ind w:left="400"/>
      </w:pPr>
    </w:p>
    <w:p w14:paraId="4E1060FC" w14:textId="77777777" w:rsidR="00294767" w:rsidRDefault="00E01351">
      <w:pPr>
        <w:ind w:left="200"/>
      </w:pPr>
      <w:r>
        <w:t>Место нахождения эмитента:</w:t>
      </w:r>
    </w:p>
    <w:p w14:paraId="6565809B" w14:textId="77777777" w:rsidR="00294767" w:rsidRDefault="00E01351" w:rsidP="0019031F">
      <w:pPr>
        <w:ind w:left="200"/>
        <w:jc w:val="both"/>
      </w:pPr>
      <w:r>
        <w:t>Адрес эмитента:</w:t>
      </w:r>
      <w:r>
        <w:rPr>
          <w:rStyle w:val="Subst"/>
        </w:rPr>
        <w:t xml:space="preserve"> 105066 Российская Федерация, г. Москва, Нижняя Красносельская, д.39, стр. 1, помещение XX, комната №2</w:t>
      </w:r>
    </w:p>
    <w:p w14:paraId="0203AB14" w14:textId="77777777" w:rsidR="00294767" w:rsidRDefault="00E01351" w:rsidP="0019031F">
      <w:pPr>
        <w:ind w:left="200"/>
        <w:jc w:val="both"/>
      </w:pPr>
      <w:r>
        <w:lastRenderedPageBreak/>
        <w:t>Сведения о способе создания эмитента:</w:t>
      </w:r>
      <w:r>
        <w:br/>
      </w:r>
      <w:r>
        <w:rPr>
          <w:rStyle w:val="Subst"/>
        </w:rPr>
        <w:t>Протокол учредительного собрания открытого акционерного общества «Новая перевозочная компания» от 03.06.2003 г.</w:t>
      </w:r>
    </w:p>
    <w:p w14:paraId="61C6DFE7" w14:textId="77777777" w:rsidR="00294767" w:rsidRDefault="00E01351" w:rsidP="0019031F">
      <w:pPr>
        <w:ind w:left="200"/>
        <w:jc w:val="both"/>
      </w:pPr>
      <w:r>
        <w:t>Дата создания эмитента:</w:t>
      </w:r>
      <w:r>
        <w:rPr>
          <w:rStyle w:val="Subst"/>
        </w:rPr>
        <w:t xml:space="preserve"> 24.06.2003</w:t>
      </w:r>
    </w:p>
    <w:p w14:paraId="25887F42" w14:textId="77777777" w:rsidR="00294767" w:rsidRDefault="00E01351" w:rsidP="0019031F">
      <w:pPr>
        <w:pStyle w:val="SubHeading"/>
        <w:ind w:left="200"/>
        <w:jc w:val="both"/>
      </w:pPr>
      <w:r>
        <w:t>Все предшествующие наименования эмитента в течение трех последних лет, предшествующих дате окончания отчетного периода, за который составлен отчет эмитента</w:t>
      </w:r>
    </w:p>
    <w:p w14:paraId="0086C565" w14:textId="77777777" w:rsidR="00294767" w:rsidRDefault="00E01351" w:rsidP="0019031F">
      <w:pPr>
        <w:ind w:left="400"/>
        <w:jc w:val="both"/>
      </w:pPr>
      <w:r>
        <w:rPr>
          <w:rStyle w:val="Subst"/>
        </w:rPr>
        <w:t>Наименования эмитента в течение трех последних лет, предшествующих дате окончания отчетного периода, за который составлен отчет эмитента, не изменялись</w:t>
      </w:r>
    </w:p>
    <w:p w14:paraId="4D4F72EE" w14:textId="77777777" w:rsidR="00294767" w:rsidRDefault="00E01351" w:rsidP="0019031F">
      <w:pPr>
        <w:ind w:left="200"/>
        <w:jc w:val="both"/>
      </w:pPr>
      <w:r>
        <w:rPr>
          <w:rStyle w:val="Subst"/>
        </w:rPr>
        <w:t>Реорганизации эмитента в течение трех последних лет, предшествующих дате окончания отчетного периода, за который составлен отчет эмитента, не осуществлялись</w:t>
      </w:r>
    </w:p>
    <w:p w14:paraId="7BF8F9FD" w14:textId="77777777" w:rsidR="00294767" w:rsidRDefault="00E01351" w:rsidP="0019031F">
      <w:pPr>
        <w:ind w:left="200"/>
        <w:jc w:val="both"/>
      </w:pPr>
      <w:r>
        <w:t>Основной государственный регистрационный номер (ОГРН):</w:t>
      </w:r>
      <w:r>
        <w:rPr>
          <w:rStyle w:val="Subst"/>
        </w:rPr>
        <w:t xml:space="preserve"> 1037705050570</w:t>
      </w:r>
    </w:p>
    <w:p w14:paraId="199B48F0" w14:textId="77777777" w:rsidR="00294767" w:rsidRDefault="00294767">
      <w:pPr>
        <w:ind w:left="200"/>
      </w:pPr>
    </w:p>
    <w:p w14:paraId="7549D38F" w14:textId="77777777" w:rsidR="00294767" w:rsidRDefault="00E01351">
      <w:pPr>
        <w:ind w:left="200"/>
      </w:pPr>
      <w:r>
        <w:t>ИНН:</w:t>
      </w:r>
      <w:r>
        <w:rPr>
          <w:rStyle w:val="Subst"/>
        </w:rPr>
        <w:t xml:space="preserve"> 7705503750</w:t>
      </w:r>
    </w:p>
    <w:p w14:paraId="2C4613E1" w14:textId="77777777" w:rsidR="00294767" w:rsidRDefault="00294767">
      <w:pPr>
        <w:ind w:left="200"/>
      </w:pPr>
    </w:p>
    <w:p w14:paraId="17756D31" w14:textId="71FD7E7A" w:rsidR="00473D8F" w:rsidRDefault="00E01351" w:rsidP="0019031F">
      <w:pPr>
        <w:ind w:left="200"/>
        <w:jc w:val="both"/>
        <w:rPr>
          <w:rStyle w:val="Subst"/>
        </w:rPr>
      </w:pPr>
      <w:r>
        <w:t>Краткое описание финансово-хозяйственной деятельности, операционных сегментов и географии осуществления финансово-хозяйственной деятельности эмитента:</w:t>
      </w:r>
      <w:r>
        <w:br/>
      </w:r>
      <w:r>
        <w:rPr>
          <w:rStyle w:val="Subst"/>
        </w:rPr>
        <w:t xml:space="preserve">       </w:t>
      </w:r>
      <w:r w:rsidRPr="002B37CB">
        <w:rPr>
          <w:rStyle w:val="Subst"/>
        </w:rPr>
        <w:t xml:space="preserve">Акционерное общество «Новая перевозочная компания» (АО «НПК», Общество, Компания, ранее Открытое акционерное общество «Новая перевозочная компания») является одним из ведущих российских железнодорожных операторов. 100% акций АО «НПК» контролируется Globaltrans Investment </w:t>
      </w:r>
      <w:r w:rsidRPr="002A685A">
        <w:rPr>
          <w:rStyle w:val="Subst"/>
        </w:rPr>
        <w:t>P</w:t>
      </w:r>
      <w:r w:rsidR="0071040C">
        <w:rPr>
          <w:rStyle w:val="Subst"/>
          <w:lang w:val="en-US"/>
        </w:rPr>
        <w:t>L</w:t>
      </w:r>
      <w:r w:rsidRPr="002A685A">
        <w:rPr>
          <w:rStyle w:val="Subst"/>
        </w:rPr>
        <w:t>C</w:t>
      </w:r>
      <w:r w:rsidRPr="002B37CB">
        <w:rPr>
          <w:rStyle w:val="Subst"/>
        </w:rPr>
        <w:t xml:space="preserve">, входящей в Группу Globaltrans, одной из лидеров рынка железнодорожных перевозок на территории России и СНГ. Широкая клиентская база Globaltrans представлена крупнейшими промышленными предприятиями, работающими в различных секторах бизнеса, и включает более 500 компаний. По состоянию на конец 2022 года общий парк Группы насчитывал более 66 тысяч единиц, при этом на долю собственного парка, средний возраст которого составляет 14,5 лет, пришлось 94%. В 2022 году грузооборот Группы (с учётом привлеченного парка) составил 141,4 </w:t>
      </w:r>
      <w:r w:rsidRPr="002A685A">
        <w:rPr>
          <w:rStyle w:val="Subst"/>
        </w:rPr>
        <w:t xml:space="preserve">млрд. тн.-км. Суммарная выручка Globaltrans за 2022 год составила 94,5 млрд. рублей. </w:t>
      </w:r>
      <w:r w:rsidR="0071040C">
        <w:rPr>
          <w:rStyle w:val="Subst"/>
        </w:rPr>
        <w:t xml:space="preserve">Глобальные депозитарные расписки </w:t>
      </w:r>
      <w:r w:rsidR="0071040C">
        <w:rPr>
          <w:rStyle w:val="Subst"/>
          <w:lang w:val="en-US"/>
        </w:rPr>
        <w:t>Globaltrans</w:t>
      </w:r>
      <w:r w:rsidR="0071040C" w:rsidRPr="002B37CB">
        <w:rPr>
          <w:rStyle w:val="Subst"/>
        </w:rPr>
        <w:t xml:space="preserve"> </w:t>
      </w:r>
      <w:r w:rsidR="0071040C">
        <w:rPr>
          <w:rStyle w:val="Subst"/>
        </w:rPr>
        <w:t>имеют листинг на</w:t>
      </w:r>
      <w:r w:rsidR="0071040C" w:rsidRPr="00681304">
        <w:rPr>
          <w:rStyle w:val="Subst"/>
        </w:rPr>
        <w:t xml:space="preserve"> основной площадке Лондонской фондовой биржи (биржевой тикер: GLTR)</w:t>
      </w:r>
      <w:r w:rsidR="0071040C">
        <w:rPr>
          <w:rStyle w:val="Subst"/>
        </w:rPr>
        <w:t xml:space="preserve"> </w:t>
      </w:r>
      <w:r w:rsidRPr="002B37CB">
        <w:rPr>
          <w:rStyle w:val="Subst"/>
        </w:rPr>
        <w:t>с мая 2008 года</w:t>
      </w:r>
      <w:r w:rsidR="0071040C" w:rsidRPr="00681304">
        <w:rPr>
          <w:rStyle w:val="Subst"/>
        </w:rPr>
        <w:t>*</w:t>
      </w:r>
      <w:r w:rsidR="0071040C" w:rsidRPr="00ED3DC1">
        <w:rPr>
          <w:rStyle w:val="Subst"/>
        </w:rPr>
        <w:t xml:space="preserve"> </w:t>
      </w:r>
      <w:r w:rsidR="0071040C">
        <w:rPr>
          <w:rStyle w:val="Subst"/>
        </w:rPr>
        <w:t xml:space="preserve">и на Московской бирже </w:t>
      </w:r>
      <w:r w:rsidRPr="002B37CB">
        <w:rPr>
          <w:rStyle w:val="Subst"/>
        </w:rPr>
        <w:t>с октября 2020 года</w:t>
      </w:r>
      <w:r w:rsidR="0071040C">
        <w:rPr>
          <w:rStyle w:val="Subst"/>
        </w:rPr>
        <w:t>.</w:t>
      </w:r>
    </w:p>
    <w:p w14:paraId="0EEAAB19" w14:textId="77777777" w:rsidR="00473D8F" w:rsidRPr="002A685A" w:rsidRDefault="00473D8F" w:rsidP="002B37CB">
      <w:pPr>
        <w:ind w:left="200" w:firstLine="520"/>
        <w:jc w:val="both"/>
        <w:rPr>
          <w:rStyle w:val="Subst"/>
        </w:rPr>
      </w:pPr>
      <w:r w:rsidRPr="002B37CB">
        <w:rPr>
          <w:rStyle w:val="Subst"/>
        </w:rPr>
        <w:t>*На дату публикации торги глобальными депозитарными расписками на Лондонской фондовой бирже остаются приостановленными.</w:t>
      </w:r>
    </w:p>
    <w:p w14:paraId="5BB29DB2" w14:textId="28024576" w:rsidR="00294767" w:rsidRDefault="00E01351">
      <w:pPr>
        <w:ind w:left="200" w:firstLine="520"/>
        <w:jc w:val="both"/>
      </w:pPr>
      <w:r>
        <w:rPr>
          <w:rStyle w:val="Subst"/>
        </w:rPr>
        <w:t xml:space="preserve">        Зарегистрированное 24 июня 2003 года, АО «НПК» занимает лидирующие позиции среди частных операторов железнодорожного подвижного состава по организации перевозок продукции металлургических и горно-обогатительных комбинатов, нефтеналивных и прочих грузов.</w:t>
      </w:r>
      <w:r>
        <w:rPr>
          <w:rStyle w:val="Subst"/>
        </w:rPr>
        <w:br/>
        <w:t xml:space="preserve">        Акционерное общество «Новая перевозочная компания» предоставляет клиентам комплекс транспортных услуг: </w:t>
      </w:r>
      <w:r>
        <w:rPr>
          <w:rStyle w:val="Subst"/>
        </w:rPr>
        <w:br/>
        <w:t xml:space="preserve">        - организация перевозок грузов железнодорожным подвижным составом собственным, арендованным, принадлежащим на иных законных основаниях; </w:t>
      </w:r>
      <w:r>
        <w:rPr>
          <w:rStyle w:val="Subst"/>
        </w:rPr>
        <w:br/>
        <w:t xml:space="preserve">        - комплексные логистические решения для промышленных предприятий; </w:t>
      </w:r>
      <w:r>
        <w:rPr>
          <w:rStyle w:val="Subst"/>
        </w:rPr>
        <w:br/>
        <w:t xml:space="preserve">        - организация перевозок собственными поездными формированиями; </w:t>
      </w:r>
      <w:r>
        <w:rPr>
          <w:rStyle w:val="Subst"/>
        </w:rPr>
        <w:br/>
        <w:t xml:space="preserve">        - диспетчеризация продвижения грузов и информирование клиента о дислокации вагонов с грузом; </w:t>
      </w:r>
      <w:r>
        <w:rPr>
          <w:rStyle w:val="Subst"/>
        </w:rPr>
        <w:br/>
        <w:t xml:space="preserve">        - организация ремонта подвижного состава.</w:t>
      </w:r>
      <w:r>
        <w:rPr>
          <w:rStyle w:val="Subst"/>
        </w:rPr>
        <w:br/>
        <w:t xml:space="preserve">        Обширная география грузоперевозок Компании включает территории России, а также стран СНГ и Балтии. Широкая филиальная сеть позволяет оперативно решать вопросы организации перевозок, обеспечивать своевременную подачу вагонов и следить за грузом на протяжении всего пути следования. Филиалы Компании работают в Магнитогорске, Ростове-на-Дону, Череповце, Кстово, Орске, Челябинске, Кемерово.</w:t>
      </w:r>
      <w:r>
        <w:rPr>
          <w:rStyle w:val="Subst"/>
        </w:rPr>
        <w:br/>
        <w:t xml:space="preserve">        АО «НПК» предоставляет услуги по организации перевозок черных металлов, железной руды, угля, минерально-строительных и других грузов. Приоритетным направлением своей деятельности Эмитент считает оказание услуг по организации перевозок железнодорожным транспортом продукции металлургических и горно-обогатительных комбинатов, обеспечивая ввоз сырья и вывоз готовой продукции крупнейших промышленных предприятий России. </w:t>
      </w:r>
      <w:r>
        <w:rPr>
          <w:rStyle w:val="Subst"/>
        </w:rPr>
        <w:br/>
      </w:r>
      <w:r>
        <w:rPr>
          <w:rStyle w:val="Subst"/>
        </w:rPr>
        <w:br/>
        <w:t xml:space="preserve">       Высшим органом оперативного упра</w:t>
      </w:r>
      <w:r w:rsidR="002050AD">
        <w:rPr>
          <w:rStyle w:val="Subst"/>
        </w:rPr>
        <w:t>вления Компании является Совет д</w:t>
      </w:r>
      <w:r>
        <w:rPr>
          <w:rStyle w:val="Subst"/>
        </w:rPr>
        <w:t xml:space="preserve">иректоров, который рассматривает управленческую отчетность с целью оценки деятельности Компании и распределения ресурсов. Руководство определяет операционные сегменты, опираясь на эту отчетность. </w:t>
      </w:r>
      <w:r>
        <w:rPr>
          <w:rStyle w:val="Subst"/>
        </w:rPr>
        <w:br/>
        <w:t xml:space="preserve">       </w:t>
      </w:r>
      <w:r w:rsidR="002050AD">
        <w:rPr>
          <w:rStyle w:val="Subst"/>
        </w:rPr>
        <w:t>Совет д</w:t>
      </w:r>
      <w:r>
        <w:rPr>
          <w:rStyle w:val="Subst"/>
        </w:rPr>
        <w:t xml:space="preserve">иректоров рассматривает бизнес с двух точек зрения: по видам деятельности и типу используемого подвижного состава. С точки зрения вида деятельности руководство </w:t>
      </w:r>
      <w:r>
        <w:rPr>
          <w:rStyle w:val="Subst"/>
        </w:rPr>
        <w:lastRenderedPageBreak/>
        <w:t>рассматривает услуги по железнодорожным перевозкам (транспортные услуги) в качестве основного вида. Все остальные виды деятельности (сдача подвижного состава в аренду, агентская деятельность и прочая деятельность) рассматриваются руководством в общем, так как эти виды деятельности являются второстепенными для Компании. С точки зрения используемого</w:t>
      </w:r>
      <w:r w:rsidR="002050AD">
        <w:rPr>
          <w:rStyle w:val="Subst"/>
        </w:rPr>
        <w:t xml:space="preserve"> типа подвижного состава Совет д</w:t>
      </w:r>
      <w:r>
        <w:rPr>
          <w:rStyle w:val="Subst"/>
        </w:rPr>
        <w:t xml:space="preserve">иректоров рассматривает полувагоны в рамках одного сегмента, а прочие активы, включая, хопперы, локомотивы, платформы и цистерны, объединяются в прочие сегменты. </w:t>
      </w:r>
      <w:r>
        <w:rPr>
          <w:rStyle w:val="Subst"/>
        </w:rPr>
        <w:br/>
      </w:r>
      <w:r>
        <w:rPr>
          <w:rStyle w:val="Subst"/>
        </w:rPr>
        <w:br/>
        <w:t>МИССИЯ.</w:t>
      </w:r>
      <w:r>
        <w:rPr>
          <w:rStyle w:val="Subst"/>
        </w:rPr>
        <w:br/>
        <w:t xml:space="preserve">        Способствовать устойчивому и эффективному развитию рынка грузовых железнодорожных перевозок и экономики страны, оказывать максимальное содействие бизнесу клиентов, качественно, доступно, быстро и надежно решая их задачи по транспортировке грузов.</w:t>
      </w:r>
      <w:r>
        <w:rPr>
          <w:rStyle w:val="Subst"/>
        </w:rPr>
        <w:br/>
      </w:r>
      <w:r>
        <w:rPr>
          <w:rStyle w:val="Subst"/>
        </w:rPr>
        <w:br/>
        <w:t>НАШИ ЦЕННОСТИ.</w:t>
      </w:r>
      <w:r>
        <w:rPr>
          <w:rStyle w:val="Subst"/>
        </w:rPr>
        <w:br/>
        <w:t xml:space="preserve">        Профессионализм управленческой команды в целом и каждого сотрудника в отдельности – основа деятельности Компании и надежный фундамент ее безупречной репутации.</w:t>
      </w:r>
      <w:r>
        <w:rPr>
          <w:rStyle w:val="Subst"/>
        </w:rPr>
        <w:br/>
        <w:t xml:space="preserve">        Эффективность ведения бизнеса – гарантия выполнения обязательств перед акционерами, инвесторами и клиентами.</w:t>
      </w:r>
      <w:r>
        <w:rPr>
          <w:rStyle w:val="Subst"/>
        </w:rPr>
        <w:br/>
        <w:t xml:space="preserve">        Ответственность за выполнение принятых на себя обязательств и за результат как условие долгосрочного и устойчивого развития бизнеса.</w:t>
      </w:r>
      <w:r>
        <w:rPr>
          <w:rStyle w:val="Subst"/>
        </w:rPr>
        <w:br/>
        <w:t xml:space="preserve">        Клиентоориентированность как философия бизнеса и основа высокого качества предоставляемых услуг.</w:t>
      </w:r>
      <w:r>
        <w:rPr>
          <w:rStyle w:val="Subst"/>
        </w:rPr>
        <w:br/>
        <w:t xml:space="preserve">        Инновационность в подходах как средство обеспечения высокой результативности и достижения лидерства на рынке.</w:t>
      </w:r>
      <w:r>
        <w:rPr>
          <w:rStyle w:val="Subst"/>
        </w:rPr>
        <w:br/>
      </w:r>
      <w:r>
        <w:rPr>
          <w:rStyle w:val="Subst"/>
        </w:rPr>
        <w:br/>
        <w:t>Основными видами деятельности Общества являются:</w:t>
      </w:r>
      <w:r>
        <w:rPr>
          <w:rStyle w:val="Subst"/>
        </w:rPr>
        <w:br/>
        <w:t>•</w:t>
      </w:r>
      <w:r>
        <w:rPr>
          <w:rStyle w:val="Subst"/>
        </w:rPr>
        <w:tab/>
        <w:t>оказание услуг по предоставлению железнодорожного подвижного состава под погрузку / перевозку;</w:t>
      </w:r>
      <w:r>
        <w:rPr>
          <w:rStyle w:val="Subst"/>
        </w:rPr>
        <w:br/>
        <w:t>•</w:t>
      </w:r>
      <w:r>
        <w:rPr>
          <w:rStyle w:val="Subst"/>
        </w:rPr>
        <w:tab/>
        <w:t>оказание транспортно-экспедиционных и агентских услуг по организации внутрироссийских и международных перевозок грузов всеми видами транспорта для предприятий, организаций и граждан;</w:t>
      </w:r>
      <w:r>
        <w:rPr>
          <w:rStyle w:val="Subst"/>
        </w:rPr>
        <w:br/>
        <w:t>•</w:t>
      </w:r>
      <w:r>
        <w:rPr>
          <w:rStyle w:val="Subst"/>
        </w:rPr>
        <w:tab/>
        <w:t>транспортно-экспедиционное обслуживание грузов, перевозимых железнодорожным и иными видами транспорта;</w:t>
      </w:r>
      <w:r>
        <w:rPr>
          <w:rStyle w:val="Subst"/>
        </w:rPr>
        <w:br/>
        <w:t>•</w:t>
      </w:r>
      <w:r>
        <w:rPr>
          <w:rStyle w:val="Subst"/>
        </w:rPr>
        <w:tab/>
        <w:t>аренда железнодорожного транспорта и оборудования, аренда железнодорожного подвижного состава;</w:t>
      </w:r>
      <w:r>
        <w:rPr>
          <w:rStyle w:val="Subst"/>
        </w:rPr>
        <w:br/>
        <w:t>•</w:t>
      </w:r>
      <w:r>
        <w:rPr>
          <w:rStyle w:val="Subst"/>
        </w:rPr>
        <w:tab/>
        <w:t>оказание услуг по организации перевозок грузов собственным и привлеченным железнодорожным подвижным составом, иными видами транспорта;</w:t>
      </w:r>
      <w:r>
        <w:rPr>
          <w:rStyle w:val="Subst"/>
        </w:rPr>
        <w:br/>
        <w:t>•</w:t>
      </w:r>
      <w:r>
        <w:rPr>
          <w:rStyle w:val="Subst"/>
        </w:rPr>
        <w:tab/>
        <w:t>оказание услуг по организации и выполнению ремонта железнодорожного подвижного состава, в том числе приобретение и/или отчуждение запасных частей, их хранение;</w:t>
      </w:r>
      <w:r>
        <w:rPr>
          <w:rStyle w:val="Subst"/>
        </w:rPr>
        <w:br/>
        <w:t>•</w:t>
      </w:r>
      <w:r>
        <w:rPr>
          <w:rStyle w:val="Subst"/>
        </w:rPr>
        <w:tab/>
        <w:t>оказание услуг по организации обслуживания железнодорожного подвижного состава (в т.ч. промывка, пропарка, покраска, маркировка и т.п.);</w:t>
      </w:r>
      <w:r>
        <w:rPr>
          <w:rStyle w:val="Subst"/>
        </w:rPr>
        <w:br/>
        <w:t>•</w:t>
      </w:r>
      <w:r>
        <w:rPr>
          <w:rStyle w:val="Subst"/>
        </w:rPr>
        <w:tab/>
        <w:t>оказание услуг по организации транспортной обработки грузов;</w:t>
      </w:r>
      <w:r>
        <w:rPr>
          <w:rStyle w:val="Subst"/>
        </w:rPr>
        <w:br/>
        <w:t>•</w:t>
      </w:r>
      <w:r>
        <w:rPr>
          <w:rStyle w:val="Subst"/>
        </w:rPr>
        <w:tab/>
        <w:t>оказание услуг по организации погрузки, разгрузки, креплению, сепарированию грузов в соответствии с требованиями различных видов перевозок, а также разработка схем и проведение расчетов по погрузке и креплению грузов;</w:t>
      </w:r>
      <w:r>
        <w:rPr>
          <w:rStyle w:val="Subst"/>
        </w:rPr>
        <w:br/>
        <w:t>•</w:t>
      </w:r>
      <w:r>
        <w:rPr>
          <w:rStyle w:val="Subst"/>
        </w:rPr>
        <w:tab/>
        <w:t xml:space="preserve">оказание услуг по организации таможенного оформления; </w:t>
      </w:r>
      <w:r>
        <w:rPr>
          <w:rStyle w:val="Subst"/>
        </w:rPr>
        <w:br/>
        <w:t>•</w:t>
      </w:r>
      <w:r>
        <w:rPr>
          <w:rStyle w:val="Subst"/>
        </w:rPr>
        <w:tab/>
        <w:t>оказание услуг по сбору разрешений, согласований, допусков, необходимых для осуществления грузовых перевозок;</w:t>
      </w:r>
      <w:r>
        <w:rPr>
          <w:rStyle w:val="Subst"/>
        </w:rPr>
        <w:br/>
        <w:t>•</w:t>
      </w:r>
      <w:r>
        <w:rPr>
          <w:rStyle w:val="Subst"/>
        </w:rPr>
        <w:tab/>
        <w:t>оказание логистических и информационных услуг, включая консультирование по грузовым перевозкам;</w:t>
      </w:r>
      <w:r>
        <w:rPr>
          <w:rStyle w:val="Subst"/>
        </w:rPr>
        <w:br/>
        <w:t>•</w:t>
      </w:r>
      <w:r>
        <w:rPr>
          <w:rStyle w:val="Subst"/>
        </w:rPr>
        <w:tab/>
        <w:t>оказание и организация платежно-финансовых услуг, в том числе уплата пошлин, сборов и других расходов грузовладельцев, проведение расчетов связанных с перевозкой, перевалкой грузов под таможенным, санитарным и прочим контролем;</w:t>
      </w:r>
      <w:r>
        <w:rPr>
          <w:rStyle w:val="Subst"/>
        </w:rPr>
        <w:br/>
        <w:t>•</w:t>
      </w:r>
      <w:r>
        <w:rPr>
          <w:rStyle w:val="Subst"/>
        </w:rPr>
        <w:tab/>
        <w:t>осуществление операций по импорту - экспорту собственных товаров, работ, услуг, а также оказание посреднических и представительских услуг сторонним организациям при осуществлении ими внешнеэкономической деятельности;</w:t>
      </w:r>
      <w:r>
        <w:rPr>
          <w:rStyle w:val="Subst"/>
        </w:rPr>
        <w:br/>
        <w:t>•</w:t>
      </w:r>
      <w:r>
        <w:rPr>
          <w:rStyle w:val="Subst"/>
        </w:rPr>
        <w:tab/>
        <w:t>осуществление иных видов деятельности, не запрещенных действующим законодательством Российской Федерации.</w:t>
      </w:r>
      <w:r>
        <w:rPr>
          <w:rStyle w:val="Subst"/>
        </w:rPr>
        <w:br/>
      </w:r>
      <w:r>
        <w:rPr>
          <w:rStyle w:val="Subst"/>
        </w:rPr>
        <w:br/>
        <w:t>Цели создания Эмитента:</w:t>
      </w:r>
      <w:r>
        <w:rPr>
          <w:rStyle w:val="Subst"/>
        </w:rPr>
        <w:br/>
        <w:t xml:space="preserve">        В соответствии с Уставом целью деятельности Общества является удовлетворение общественных потребностей в товарах, продукции, работах, услугах, а также получение прибыли.</w:t>
      </w:r>
      <w:r>
        <w:rPr>
          <w:rStyle w:val="Subst"/>
        </w:rPr>
        <w:br/>
      </w:r>
      <w:r>
        <w:rPr>
          <w:rStyle w:val="Subst"/>
        </w:rPr>
        <w:br/>
        <w:t xml:space="preserve">        Настоящий отчет содержит оценки и прогнозы уполномоченных органов управления эмитента касательно будущих событий и/или действий, перспектив развития отрасли </w:t>
      </w:r>
      <w:r>
        <w:rPr>
          <w:rStyle w:val="Subst"/>
        </w:rPr>
        <w:lastRenderedPageBreak/>
        <w:t>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w:t>
      </w:r>
    </w:p>
    <w:p w14:paraId="6E5897AB" w14:textId="77777777" w:rsidR="0019031F" w:rsidRDefault="0019031F">
      <w:pPr>
        <w:ind w:left="200"/>
      </w:pPr>
    </w:p>
    <w:p w14:paraId="57BF6B70" w14:textId="77777777" w:rsidR="00294767" w:rsidRDefault="00E01351">
      <w:pPr>
        <w:ind w:left="200"/>
      </w:pPr>
      <w:r>
        <w:t>Информация о личных законах организаций, входящих в группу эмитента:</w:t>
      </w:r>
    </w:p>
    <w:p w14:paraId="65898C50" w14:textId="77777777" w:rsidR="00294767" w:rsidRDefault="00E01351">
      <w:pPr>
        <w:pStyle w:val="SubHeading"/>
        <w:ind w:left="200"/>
      </w:pPr>
      <w:r>
        <w:t>Иные ограничения, связанные с участием в уставном капитале эмитента, установленные его уставом</w:t>
      </w:r>
    </w:p>
    <w:p w14:paraId="68D8D717" w14:textId="77777777" w:rsidR="00294767" w:rsidRDefault="00E01351">
      <w:pPr>
        <w:ind w:left="400"/>
      </w:pPr>
      <w:r>
        <w:rPr>
          <w:rStyle w:val="Subst"/>
        </w:rPr>
        <w:t>Ограничений на участие в уставном капитале эмитента нет</w:t>
      </w:r>
    </w:p>
    <w:p w14:paraId="61C07B20" w14:textId="77777777" w:rsidR="00294767" w:rsidRDefault="00E01351">
      <w:pPr>
        <w:ind w:left="200"/>
      </w:pPr>
      <w:r>
        <w:t>Иная информация, которая, по мнению эмитента, является существенной для получения заинтересованными лицами общего представления об эмитенте и его финансово-хозяйственной деятельности</w:t>
      </w:r>
    </w:p>
    <w:p w14:paraId="30405870" w14:textId="77777777" w:rsidR="00294767" w:rsidRDefault="00294767">
      <w:pPr>
        <w:ind w:left="200"/>
      </w:pPr>
    </w:p>
    <w:p w14:paraId="2F8D840D" w14:textId="77777777" w:rsidR="00294767" w:rsidRDefault="00E01351">
      <w:pPr>
        <w:pStyle w:val="2"/>
      </w:pPr>
      <w:bookmarkStart w:id="5" w:name="_Toc133918756"/>
      <w:r>
        <w:t>1.2. Сведения о положении эмитента в отрасли</w:t>
      </w:r>
      <w:bookmarkEnd w:id="5"/>
    </w:p>
    <w:p w14:paraId="6FBAF957" w14:textId="77777777" w:rsidR="00611E8C" w:rsidRDefault="00E01351" w:rsidP="0019031F">
      <w:pPr>
        <w:ind w:left="200"/>
        <w:jc w:val="both"/>
        <w:rPr>
          <w:rStyle w:val="Subst"/>
        </w:rPr>
      </w:pPr>
      <w:r>
        <w:rPr>
          <w:rStyle w:val="Subst"/>
        </w:rPr>
        <w:t xml:space="preserve">        Эмитент оказывает услуги по организации перевозки грузов собственным, арендованным, а также принадлежащим на иных законных основаниях подвижным составом по территории Российской Федерации и других стран, в том числе входящих в СНГ.</w:t>
      </w:r>
      <w:r>
        <w:rPr>
          <w:rStyle w:val="Subst"/>
        </w:rPr>
        <w:br/>
        <w:t xml:space="preserve">        Основные тенденции и перспективы развития российской отрасли грузовых железнодорожных перевозок существенным образом определяет структурная реформа железнодорожного транспорта в России.</w:t>
      </w:r>
      <w:r>
        <w:rPr>
          <w:rStyle w:val="Subst"/>
        </w:rPr>
        <w:br/>
        <w:t xml:space="preserve">        Хотя ОАО «РЖД» остается монополистом в области предоставлении услуг по использованию железнодорожной инфраструктуры и основным игроком в предоставлении услуг локомотивной тяги, новая законодательная база предоставляет независимым компаниям - операторам железнодорожного подвижного состава законное право пользоваться этой инфраструктурой на равноправной основе наряду с ОАО «РЖД» и ее дочерними компаниями. </w:t>
      </w:r>
      <w:r>
        <w:rPr>
          <w:rStyle w:val="Subst"/>
        </w:rPr>
        <w:br/>
        <w:t xml:space="preserve">        Некоторые частные операторы железнодорожного подвижного состава (включая Эмитента) уже сейчас используют для организации перевозок грузов железнодорожным транспортом некоторое количество собственных локомотивов.</w:t>
      </w:r>
      <w:r>
        <w:rPr>
          <w:rStyle w:val="Subst"/>
        </w:rPr>
        <w:br/>
        <w:t xml:space="preserve">        Российская железнодорожная система занимает третье место в мире после Китая и США по объему железнодорожных грузоперевозок.</w:t>
      </w:r>
      <w:r>
        <w:rPr>
          <w:rStyle w:val="Subst"/>
        </w:rPr>
        <w:br/>
        <w:t xml:space="preserve">        Железнодорожный транспорт занимает доминирующее положение на рынке грузоперевозок в России. Значительную долю в объеме железнодорожных перевозок в России традиционно занимают такие грузы, как уголь, нефтепродукты и нефть, строительные материалы, черные металлы и железная руда. </w:t>
      </w:r>
    </w:p>
    <w:p w14:paraId="6A4D74AB" w14:textId="586F016A" w:rsidR="00026752" w:rsidRDefault="00E01351" w:rsidP="0019031F">
      <w:pPr>
        <w:ind w:left="200"/>
        <w:jc w:val="both"/>
        <w:rPr>
          <w:rStyle w:val="Subst"/>
        </w:rPr>
      </w:pPr>
      <w:r>
        <w:rPr>
          <w:rStyle w:val="Subst"/>
        </w:rPr>
        <w:br/>
        <w:t>Основные факторы, оказывающие влияние на состояние отрасли:</w:t>
      </w:r>
      <w:r>
        <w:rPr>
          <w:rStyle w:val="Subst"/>
        </w:rPr>
        <w:br/>
      </w:r>
      <w:r>
        <w:rPr>
          <w:rStyle w:val="Subst"/>
        </w:rPr>
        <w:br/>
        <w:t xml:space="preserve">        В январе – декабре 2020 года в условиях пандемии CОVID-19 падение погрузки на сети ОАО «РЖД» составило -2,7% и грузооборота -2,2%. Наибольшее влияние оказали погрузка угля (-5,04%), нефти и нефтепродуктов (-9,99%), черных металлов (-9,97%), минерально-строительных грузов (+6,09%). В 2021 году экономическ</w:t>
      </w:r>
      <w:r w:rsidR="002B37CB">
        <w:rPr>
          <w:rStyle w:val="Subst"/>
        </w:rPr>
        <w:t>ая ситуация</w:t>
      </w:r>
      <w:r>
        <w:rPr>
          <w:rStyle w:val="Subst"/>
        </w:rPr>
        <w:t xml:space="preserve"> в РФ существенно улучшил</w:t>
      </w:r>
      <w:r w:rsidR="002B37CB">
        <w:rPr>
          <w:rStyle w:val="Subst"/>
        </w:rPr>
        <w:t>ась</w:t>
      </w:r>
      <w:r>
        <w:rPr>
          <w:rStyle w:val="Subst"/>
        </w:rPr>
        <w:t>. В январе – декабре 2021 года рост погрузки на сети ОАО «РЖД» составил 3,2% и грузооборота 3,4%, наибольшее влияние оказали погрузка угля (+5,2%), нефти и нефтепродуктов (+4,2%), черных металлов (+4,3%), химических и минеральных удобрений (+3,6%). В январе – декабре 2022 года падение погрузки на сети ОАО «РЖД» составило -3,8% и грузооборота -0,1%, наибольшее влияние оказали погрузка угля (-4,6%), нефти и нефтепродуктов (-0,7%), железной и марганцевой руды (-4,0%), химических и минеральных удобрений (-6,9%), черных металлов (-4,3%) и выросла погрузка строительных грузов (+5,7%) и остальных, в том числе грузов в контейнерах (+1,6). Ухудшение динамики перевозок было во многом определено снижением экспортного грузопотока на фоне введенных западными странами санкционных ограничений.</w:t>
      </w:r>
      <w:r>
        <w:rPr>
          <w:rStyle w:val="Subst"/>
        </w:rPr>
        <w:br/>
      </w:r>
      <w:r>
        <w:rPr>
          <w:rStyle w:val="Subst"/>
        </w:rPr>
        <w:br/>
        <w:t xml:space="preserve">        В условиях инфраструктурных ограничений произошло ухудшение общесетевых показателей использования парка, в частности: замедлился оборот вагона.</w:t>
      </w:r>
      <w:r>
        <w:rPr>
          <w:rStyle w:val="Subst"/>
        </w:rPr>
        <w:br/>
      </w:r>
      <w:r>
        <w:rPr>
          <w:rStyle w:val="Subst"/>
        </w:rPr>
        <w:br/>
        <w:t xml:space="preserve">Общая оценка результатов деятельности эмитента в данной отрасли: </w:t>
      </w:r>
      <w:r>
        <w:rPr>
          <w:rStyle w:val="Subst"/>
        </w:rPr>
        <w:br/>
      </w:r>
      <w:r>
        <w:rPr>
          <w:rStyle w:val="Subst"/>
        </w:rPr>
        <w:br/>
        <w:t xml:space="preserve">        Результаты деятельности Эмитента оцениваются как удовлетворительные.</w:t>
      </w:r>
      <w:r>
        <w:rPr>
          <w:rStyle w:val="Subst"/>
        </w:rPr>
        <w:br/>
        <w:t xml:space="preserve">        Приоритетное направление деятельности Акционерного общества «Новая перевозочная компания» - оказание услуг в области организации перевозок грузов железнодорожным </w:t>
      </w:r>
      <w:r>
        <w:rPr>
          <w:rStyle w:val="Subst"/>
        </w:rPr>
        <w:lastRenderedPageBreak/>
        <w:t>транспортом в собственном, арендованном, находящемся в лизинге, а также принадлежащем Обществу на иных законных основаниях подвижном составе. С момента создания Общества можно наблюдать динамику развития данного направления:</w:t>
      </w:r>
      <w:r>
        <w:rPr>
          <w:rStyle w:val="Subst"/>
        </w:rPr>
        <w:br/>
      </w:r>
      <w:r>
        <w:rPr>
          <w:rStyle w:val="Subst"/>
        </w:rPr>
        <w:br/>
      </w:r>
    </w:p>
    <w:tbl>
      <w:tblPr>
        <w:tblStyle w:val="a5"/>
        <w:tblW w:w="9008" w:type="dxa"/>
        <w:tblInd w:w="200" w:type="dxa"/>
        <w:tblLook w:val="04A0" w:firstRow="1" w:lastRow="0" w:firstColumn="1" w:lastColumn="0" w:noHBand="0" w:noVBand="1"/>
      </w:tblPr>
      <w:tblGrid>
        <w:gridCol w:w="1326"/>
        <w:gridCol w:w="2864"/>
        <w:gridCol w:w="2976"/>
        <w:gridCol w:w="1842"/>
      </w:tblGrid>
      <w:tr w:rsidR="00026752" w:rsidRPr="00822CC8" w14:paraId="5F5EDE8C" w14:textId="77777777" w:rsidTr="00E342F3">
        <w:tc>
          <w:tcPr>
            <w:tcW w:w="1326" w:type="dxa"/>
          </w:tcPr>
          <w:p w14:paraId="3881BB68" w14:textId="77777777" w:rsidR="00026752" w:rsidRPr="00822CC8" w:rsidRDefault="00026752" w:rsidP="00E342F3">
            <w:pPr>
              <w:jc w:val="center"/>
              <w:rPr>
                <w:rStyle w:val="Subst"/>
              </w:rPr>
            </w:pPr>
            <w:r w:rsidRPr="00822CC8">
              <w:rPr>
                <w:rStyle w:val="Subst"/>
              </w:rPr>
              <w:t>Показатель</w:t>
            </w:r>
          </w:p>
        </w:tc>
        <w:tc>
          <w:tcPr>
            <w:tcW w:w="2864" w:type="dxa"/>
          </w:tcPr>
          <w:p w14:paraId="63FF6536" w14:textId="77777777" w:rsidR="00026752" w:rsidRPr="00822CC8" w:rsidRDefault="00026752" w:rsidP="00E342F3">
            <w:pPr>
              <w:jc w:val="center"/>
              <w:rPr>
                <w:rStyle w:val="Subst"/>
              </w:rPr>
            </w:pPr>
            <w:r w:rsidRPr="00822CC8">
              <w:rPr>
                <w:rStyle w:val="Subst"/>
              </w:rPr>
              <w:t>Объем выручки от продажи продукции (работ, услуг), всего тыс. руб. без НДС</w:t>
            </w:r>
          </w:p>
        </w:tc>
        <w:tc>
          <w:tcPr>
            <w:tcW w:w="2976" w:type="dxa"/>
          </w:tcPr>
          <w:p w14:paraId="57DAC00D" w14:textId="77777777" w:rsidR="00026752" w:rsidRPr="00822CC8" w:rsidRDefault="00026752" w:rsidP="00E342F3">
            <w:pPr>
              <w:jc w:val="center"/>
              <w:rPr>
                <w:rStyle w:val="Subst"/>
              </w:rPr>
            </w:pPr>
            <w:r w:rsidRPr="00822CC8">
              <w:rPr>
                <w:rStyle w:val="Subst"/>
              </w:rPr>
              <w:t>В т.ч. выручка от оказания услуг по организации перевозок грузов ж.д. транспортом, тыс. руб. без НДС</w:t>
            </w:r>
          </w:p>
        </w:tc>
        <w:tc>
          <w:tcPr>
            <w:tcW w:w="1842" w:type="dxa"/>
          </w:tcPr>
          <w:p w14:paraId="7E06A117" w14:textId="77777777" w:rsidR="00026752" w:rsidRPr="00822CC8" w:rsidRDefault="00026752" w:rsidP="00E342F3">
            <w:pPr>
              <w:jc w:val="center"/>
              <w:rPr>
                <w:rStyle w:val="Subst"/>
              </w:rPr>
            </w:pPr>
            <w:r w:rsidRPr="00822CC8">
              <w:rPr>
                <w:rStyle w:val="Subst"/>
              </w:rPr>
              <w:t>Доля в общем объеме выручки, %</w:t>
            </w:r>
          </w:p>
        </w:tc>
      </w:tr>
      <w:tr w:rsidR="00026752" w:rsidRPr="00822CC8" w14:paraId="4FB16CA1" w14:textId="77777777" w:rsidTr="00E342F3">
        <w:tc>
          <w:tcPr>
            <w:tcW w:w="1326" w:type="dxa"/>
          </w:tcPr>
          <w:p w14:paraId="558C8FFA" w14:textId="77777777" w:rsidR="00026752" w:rsidRPr="00822CC8" w:rsidRDefault="00026752" w:rsidP="00E342F3">
            <w:pPr>
              <w:rPr>
                <w:rStyle w:val="Subst"/>
              </w:rPr>
            </w:pPr>
            <w:r w:rsidRPr="00822CC8">
              <w:rPr>
                <w:rStyle w:val="Subst"/>
              </w:rPr>
              <w:t>2018</w:t>
            </w:r>
          </w:p>
        </w:tc>
        <w:tc>
          <w:tcPr>
            <w:tcW w:w="2864" w:type="dxa"/>
          </w:tcPr>
          <w:p w14:paraId="0C7C51F9" w14:textId="77777777" w:rsidR="00026752" w:rsidRPr="00822CC8" w:rsidRDefault="00026752" w:rsidP="00E342F3">
            <w:pPr>
              <w:jc w:val="center"/>
              <w:rPr>
                <w:rStyle w:val="Subst"/>
              </w:rPr>
            </w:pPr>
            <w:r w:rsidRPr="00822CC8">
              <w:rPr>
                <w:rStyle w:val="Subst"/>
              </w:rPr>
              <w:t>57 497 122</w:t>
            </w:r>
          </w:p>
        </w:tc>
        <w:tc>
          <w:tcPr>
            <w:tcW w:w="2976" w:type="dxa"/>
          </w:tcPr>
          <w:p w14:paraId="1861835E" w14:textId="77777777" w:rsidR="00026752" w:rsidRPr="00822CC8" w:rsidRDefault="00026752" w:rsidP="00E342F3">
            <w:pPr>
              <w:jc w:val="center"/>
              <w:rPr>
                <w:rStyle w:val="Subst"/>
              </w:rPr>
            </w:pPr>
            <w:r w:rsidRPr="00822CC8">
              <w:rPr>
                <w:rStyle w:val="Subst"/>
              </w:rPr>
              <w:t>56 915 617</w:t>
            </w:r>
          </w:p>
        </w:tc>
        <w:tc>
          <w:tcPr>
            <w:tcW w:w="1842" w:type="dxa"/>
          </w:tcPr>
          <w:p w14:paraId="6FF972AE" w14:textId="77777777" w:rsidR="00026752" w:rsidRPr="00822CC8" w:rsidRDefault="00026752" w:rsidP="00E342F3">
            <w:pPr>
              <w:jc w:val="center"/>
              <w:rPr>
                <w:rStyle w:val="Subst"/>
              </w:rPr>
            </w:pPr>
            <w:r w:rsidRPr="00822CC8">
              <w:rPr>
                <w:rStyle w:val="Subst"/>
              </w:rPr>
              <w:t>98.99</w:t>
            </w:r>
          </w:p>
        </w:tc>
      </w:tr>
      <w:tr w:rsidR="00026752" w:rsidRPr="00822CC8" w14:paraId="51F93477" w14:textId="77777777" w:rsidTr="00E342F3">
        <w:tc>
          <w:tcPr>
            <w:tcW w:w="1326" w:type="dxa"/>
          </w:tcPr>
          <w:p w14:paraId="64A13A39" w14:textId="77777777" w:rsidR="00026752" w:rsidRPr="00822CC8" w:rsidRDefault="00026752" w:rsidP="00E342F3">
            <w:pPr>
              <w:rPr>
                <w:rStyle w:val="Subst"/>
              </w:rPr>
            </w:pPr>
            <w:r>
              <w:rPr>
                <w:rStyle w:val="Subst"/>
              </w:rPr>
              <w:t>2019</w:t>
            </w:r>
          </w:p>
        </w:tc>
        <w:tc>
          <w:tcPr>
            <w:tcW w:w="2864" w:type="dxa"/>
          </w:tcPr>
          <w:p w14:paraId="18437F77" w14:textId="77777777" w:rsidR="00026752" w:rsidRPr="00B565BA" w:rsidRDefault="00026752" w:rsidP="00E342F3">
            <w:pPr>
              <w:jc w:val="center"/>
              <w:rPr>
                <w:rStyle w:val="Subst"/>
              </w:rPr>
            </w:pPr>
            <w:r w:rsidRPr="00B565BA">
              <w:rPr>
                <w:rStyle w:val="Subst"/>
              </w:rPr>
              <w:t>62 964 954</w:t>
            </w:r>
          </w:p>
        </w:tc>
        <w:tc>
          <w:tcPr>
            <w:tcW w:w="2976" w:type="dxa"/>
          </w:tcPr>
          <w:p w14:paraId="707DBB24" w14:textId="77777777" w:rsidR="00026752" w:rsidRPr="00B565BA" w:rsidRDefault="00026752" w:rsidP="00E342F3">
            <w:pPr>
              <w:jc w:val="center"/>
              <w:rPr>
                <w:rStyle w:val="Subst"/>
              </w:rPr>
            </w:pPr>
            <w:r w:rsidRPr="00B565BA">
              <w:rPr>
                <w:rStyle w:val="Subst"/>
              </w:rPr>
              <w:t>62 145 609</w:t>
            </w:r>
          </w:p>
        </w:tc>
        <w:tc>
          <w:tcPr>
            <w:tcW w:w="1842" w:type="dxa"/>
          </w:tcPr>
          <w:p w14:paraId="228135C9" w14:textId="77777777" w:rsidR="00026752" w:rsidRPr="00822CC8" w:rsidRDefault="00026752" w:rsidP="00E342F3">
            <w:pPr>
              <w:jc w:val="center"/>
              <w:rPr>
                <w:rStyle w:val="Subst"/>
              </w:rPr>
            </w:pPr>
            <w:r>
              <w:rPr>
                <w:rStyle w:val="Subst"/>
              </w:rPr>
              <w:t>98.70</w:t>
            </w:r>
          </w:p>
        </w:tc>
      </w:tr>
      <w:tr w:rsidR="00026752" w:rsidRPr="00693528" w14:paraId="1A59446A" w14:textId="77777777" w:rsidTr="00E342F3">
        <w:tc>
          <w:tcPr>
            <w:tcW w:w="1326" w:type="dxa"/>
          </w:tcPr>
          <w:p w14:paraId="605E87E7" w14:textId="77777777" w:rsidR="00026752" w:rsidRPr="00693528" w:rsidRDefault="00026752" w:rsidP="00E342F3">
            <w:pPr>
              <w:rPr>
                <w:rStyle w:val="Subst"/>
              </w:rPr>
            </w:pPr>
            <w:r w:rsidRPr="00693528">
              <w:rPr>
                <w:rStyle w:val="Subst"/>
              </w:rPr>
              <w:t>2020</w:t>
            </w:r>
          </w:p>
        </w:tc>
        <w:tc>
          <w:tcPr>
            <w:tcW w:w="2864" w:type="dxa"/>
          </w:tcPr>
          <w:p w14:paraId="25909E7B" w14:textId="77777777" w:rsidR="00026752" w:rsidRPr="00693528" w:rsidRDefault="00026752" w:rsidP="00E342F3">
            <w:pPr>
              <w:jc w:val="center"/>
              <w:rPr>
                <w:rStyle w:val="Subst"/>
              </w:rPr>
            </w:pPr>
            <w:r w:rsidRPr="00693528">
              <w:rPr>
                <w:rStyle w:val="Subst"/>
              </w:rPr>
              <w:t>40 656 868</w:t>
            </w:r>
          </w:p>
        </w:tc>
        <w:tc>
          <w:tcPr>
            <w:tcW w:w="2976" w:type="dxa"/>
          </w:tcPr>
          <w:p w14:paraId="381CAE4C" w14:textId="77777777" w:rsidR="00026752" w:rsidRPr="00693528" w:rsidRDefault="00026752" w:rsidP="00E342F3">
            <w:pPr>
              <w:jc w:val="center"/>
              <w:rPr>
                <w:rStyle w:val="Subst"/>
              </w:rPr>
            </w:pPr>
            <w:r w:rsidRPr="00693528">
              <w:rPr>
                <w:rStyle w:val="Subst"/>
              </w:rPr>
              <w:t>39 237 122</w:t>
            </w:r>
          </w:p>
        </w:tc>
        <w:tc>
          <w:tcPr>
            <w:tcW w:w="1842" w:type="dxa"/>
          </w:tcPr>
          <w:p w14:paraId="3F577CBD" w14:textId="77777777" w:rsidR="00026752" w:rsidRPr="00693528" w:rsidRDefault="00026752" w:rsidP="00E342F3">
            <w:pPr>
              <w:jc w:val="center"/>
              <w:rPr>
                <w:rStyle w:val="Subst"/>
              </w:rPr>
            </w:pPr>
            <w:r w:rsidRPr="00693528">
              <w:rPr>
                <w:rStyle w:val="Subst"/>
              </w:rPr>
              <w:t>96.</w:t>
            </w:r>
            <w:r>
              <w:rPr>
                <w:rStyle w:val="Subst"/>
              </w:rPr>
              <w:t>51</w:t>
            </w:r>
          </w:p>
        </w:tc>
      </w:tr>
      <w:tr w:rsidR="00315503" w:rsidRPr="00693528" w14:paraId="25F6D1A1" w14:textId="77777777" w:rsidTr="00E342F3">
        <w:tc>
          <w:tcPr>
            <w:tcW w:w="1326" w:type="dxa"/>
          </w:tcPr>
          <w:p w14:paraId="6DA2639B" w14:textId="77777777" w:rsidR="00315503" w:rsidRPr="002C1757" w:rsidRDefault="00315503" w:rsidP="00315503">
            <w:pPr>
              <w:rPr>
                <w:rStyle w:val="Subst"/>
                <w:lang w:val="en-US"/>
              </w:rPr>
            </w:pPr>
            <w:r>
              <w:rPr>
                <w:rStyle w:val="Subst"/>
                <w:lang w:val="en-US"/>
              </w:rPr>
              <w:t>2021</w:t>
            </w:r>
          </w:p>
        </w:tc>
        <w:tc>
          <w:tcPr>
            <w:tcW w:w="2864" w:type="dxa"/>
          </w:tcPr>
          <w:p w14:paraId="09D42DFE" w14:textId="5C0B8184" w:rsidR="00315503" w:rsidRPr="00BA672A" w:rsidRDefault="00315503" w:rsidP="00315503">
            <w:pPr>
              <w:jc w:val="center"/>
              <w:rPr>
                <w:rStyle w:val="Subst"/>
                <w:lang w:val="en-US"/>
              </w:rPr>
            </w:pPr>
            <w:r w:rsidRPr="00BA672A">
              <w:rPr>
                <w:rStyle w:val="Subst"/>
              </w:rPr>
              <w:t>43 030 503</w:t>
            </w:r>
            <w:r w:rsidRPr="00BA672A">
              <w:rPr>
                <w:rStyle w:val="Subst"/>
                <w:lang w:val="en-US"/>
              </w:rPr>
              <w:t xml:space="preserve"> </w:t>
            </w:r>
          </w:p>
        </w:tc>
        <w:tc>
          <w:tcPr>
            <w:tcW w:w="2976" w:type="dxa"/>
          </w:tcPr>
          <w:p w14:paraId="2BF52657" w14:textId="4074914D" w:rsidR="00315503" w:rsidRPr="00BA672A" w:rsidRDefault="00315503" w:rsidP="00315503">
            <w:pPr>
              <w:jc w:val="center"/>
              <w:rPr>
                <w:rStyle w:val="Subst"/>
                <w:lang w:val="en-US"/>
              </w:rPr>
            </w:pPr>
            <w:r w:rsidRPr="00BA672A">
              <w:rPr>
                <w:rStyle w:val="Subst"/>
              </w:rPr>
              <w:t>41 680 810</w:t>
            </w:r>
          </w:p>
        </w:tc>
        <w:tc>
          <w:tcPr>
            <w:tcW w:w="1842" w:type="dxa"/>
          </w:tcPr>
          <w:p w14:paraId="76CCB2DD" w14:textId="77777777" w:rsidR="00315503" w:rsidRPr="000B509E" w:rsidRDefault="00315503" w:rsidP="00315503">
            <w:pPr>
              <w:jc w:val="center"/>
              <w:rPr>
                <w:rStyle w:val="Subst"/>
                <w:lang w:val="en-US"/>
              </w:rPr>
            </w:pPr>
            <w:r>
              <w:rPr>
                <w:rStyle w:val="Subst"/>
              </w:rPr>
              <w:t>96</w:t>
            </w:r>
            <w:r>
              <w:rPr>
                <w:rStyle w:val="Subst"/>
                <w:lang w:val="en-US"/>
              </w:rPr>
              <w:t>.</w:t>
            </w:r>
            <w:r>
              <w:rPr>
                <w:rStyle w:val="Subst"/>
              </w:rPr>
              <w:t>8</w:t>
            </w:r>
            <w:r>
              <w:rPr>
                <w:rStyle w:val="Subst"/>
                <w:lang w:val="en-US"/>
              </w:rPr>
              <w:t>7</w:t>
            </w:r>
          </w:p>
        </w:tc>
      </w:tr>
      <w:tr w:rsidR="00026752" w:rsidRPr="00693528" w14:paraId="476216D5" w14:textId="77777777" w:rsidTr="00E342F3">
        <w:tc>
          <w:tcPr>
            <w:tcW w:w="1326" w:type="dxa"/>
          </w:tcPr>
          <w:p w14:paraId="08D4E562" w14:textId="77777777" w:rsidR="00026752" w:rsidRPr="00587497" w:rsidRDefault="00026752" w:rsidP="00E342F3">
            <w:pPr>
              <w:rPr>
                <w:rStyle w:val="Subst"/>
                <w:lang w:val="en-US"/>
              </w:rPr>
            </w:pPr>
            <w:r w:rsidRPr="00587497">
              <w:rPr>
                <w:rStyle w:val="Subst"/>
                <w:lang w:val="en-US"/>
              </w:rPr>
              <w:t>2022</w:t>
            </w:r>
          </w:p>
        </w:tc>
        <w:tc>
          <w:tcPr>
            <w:tcW w:w="2864" w:type="dxa"/>
          </w:tcPr>
          <w:p w14:paraId="6A70968C" w14:textId="77777777" w:rsidR="00026752" w:rsidRPr="00587497" w:rsidRDefault="00026752" w:rsidP="00E342F3">
            <w:pPr>
              <w:widowControl/>
              <w:autoSpaceDE/>
              <w:autoSpaceDN/>
              <w:adjustRightInd/>
              <w:spacing w:before="0" w:after="0"/>
              <w:jc w:val="center"/>
              <w:rPr>
                <w:rStyle w:val="Subst"/>
                <w:lang w:val="en-US"/>
              </w:rPr>
            </w:pPr>
            <w:r w:rsidRPr="00587497">
              <w:rPr>
                <w:rStyle w:val="Subst"/>
                <w:lang w:val="en-US"/>
              </w:rPr>
              <w:t>60 754 490</w:t>
            </w:r>
          </w:p>
        </w:tc>
        <w:tc>
          <w:tcPr>
            <w:tcW w:w="2976" w:type="dxa"/>
          </w:tcPr>
          <w:p w14:paraId="7C4C70AB" w14:textId="77777777" w:rsidR="00026752" w:rsidRPr="00587497" w:rsidRDefault="00026752" w:rsidP="00E342F3">
            <w:pPr>
              <w:widowControl/>
              <w:autoSpaceDE/>
              <w:autoSpaceDN/>
              <w:adjustRightInd/>
              <w:spacing w:before="0" w:after="0"/>
              <w:jc w:val="center"/>
              <w:rPr>
                <w:rStyle w:val="Subst"/>
                <w:lang w:val="en-US"/>
              </w:rPr>
            </w:pPr>
            <w:r w:rsidRPr="00587497">
              <w:rPr>
                <w:rStyle w:val="Subst"/>
                <w:lang w:val="en-US"/>
              </w:rPr>
              <w:t>59 214 703</w:t>
            </w:r>
          </w:p>
        </w:tc>
        <w:tc>
          <w:tcPr>
            <w:tcW w:w="1842" w:type="dxa"/>
          </w:tcPr>
          <w:p w14:paraId="1B8B3AF9" w14:textId="77777777" w:rsidR="00026752" w:rsidRPr="00587497" w:rsidRDefault="00026752" w:rsidP="00E342F3">
            <w:pPr>
              <w:widowControl/>
              <w:autoSpaceDE/>
              <w:autoSpaceDN/>
              <w:adjustRightInd/>
              <w:spacing w:before="0" w:after="0"/>
              <w:jc w:val="center"/>
              <w:rPr>
                <w:rStyle w:val="Subst"/>
                <w:lang w:val="en-US"/>
              </w:rPr>
            </w:pPr>
            <w:r w:rsidRPr="00587497">
              <w:rPr>
                <w:rStyle w:val="Subst"/>
                <w:lang w:val="en-US"/>
              </w:rPr>
              <w:t>97</w:t>
            </w:r>
            <w:r>
              <w:rPr>
                <w:rStyle w:val="Subst"/>
              </w:rPr>
              <w:t>.</w:t>
            </w:r>
            <w:r w:rsidRPr="00587497">
              <w:rPr>
                <w:rStyle w:val="Subst"/>
                <w:lang w:val="en-US"/>
              </w:rPr>
              <w:t>47</w:t>
            </w:r>
          </w:p>
        </w:tc>
      </w:tr>
    </w:tbl>
    <w:p w14:paraId="1912C1F2" w14:textId="77777777" w:rsidR="00026752" w:rsidRDefault="00E01351" w:rsidP="0019031F">
      <w:pPr>
        <w:ind w:left="200"/>
        <w:jc w:val="both"/>
        <w:rPr>
          <w:rStyle w:val="Subst"/>
        </w:rPr>
      </w:pPr>
      <w:r>
        <w:rPr>
          <w:rStyle w:val="Subst"/>
        </w:rPr>
        <w:br/>
        <w:t>* Информация по данным РСБУ</w:t>
      </w:r>
      <w:r>
        <w:rPr>
          <w:rStyle w:val="Subst"/>
        </w:rPr>
        <w:br/>
      </w:r>
      <w:r>
        <w:rPr>
          <w:rStyle w:val="Subst"/>
        </w:rPr>
        <w:br/>
      </w:r>
      <w:r>
        <w:rPr>
          <w:rStyle w:val="Subst"/>
        </w:rPr>
        <w:br/>
        <w:t>Объем перевозок, тыс. тонн</w:t>
      </w:r>
      <w:r>
        <w:rPr>
          <w:rStyle w:val="Subst"/>
        </w:rPr>
        <w:br/>
      </w:r>
    </w:p>
    <w:tbl>
      <w:tblPr>
        <w:tblStyle w:val="a5"/>
        <w:tblW w:w="0" w:type="auto"/>
        <w:tblInd w:w="200" w:type="dxa"/>
        <w:tblLook w:val="04A0" w:firstRow="1" w:lastRow="0" w:firstColumn="1" w:lastColumn="0" w:noHBand="0" w:noVBand="1"/>
      </w:tblPr>
      <w:tblGrid>
        <w:gridCol w:w="1145"/>
        <w:gridCol w:w="1092"/>
        <w:gridCol w:w="1075"/>
        <w:gridCol w:w="1016"/>
        <w:gridCol w:w="986"/>
        <w:gridCol w:w="986"/>
      </w:tblGrid>
      <w:tr w:rsidR="00026752" w:rsidRPr="008F3C82" w14:paraId="4AB0DD41" w14:textId="77777777" w:rsidTr="00E342F3">
        <w:tc>
          <w:tcPr>
            <w:tcW w:w="1145" w:type="dxa"/>
          </w:tcPr>
          <w:p w14:paraId="7FA72F36" w14:textId="77777777" w:rsidR="00026752" w:rsidRPr="000F7929" w:rsidRDefault="00026752" w:rsidP="00E342F3">
            <w:pPr>
              <w:rPr>
                <w:rStyle w:val="Subst"/>
              </w:rPr>
            </w:pPr>
            <w:r w:rsidRPr="000F7929">
              <w:rPr>
                <w:rStyle w:val="Subst"/>
              </w:rPr>
              <w:t>Год</w:t>
            </w:r>
          </w:p>
        </w:tc>
        <w:tc>
          <w:tcPr>
            <w:tcW w:w="1092" w:type="dxa"/>
          </w:tcPr>
          <w:p w14:paraId="4BCB23B3" w14:textId="77777777" w:rsidR="00026752" w:rsidRPr="000F7929" w:rsidRDefault="00026752" w:rsidP="00E342F3">
            <w:pPr>
              <w:jc w:val="center"/>
              <w:rPr>
                <w:rStyle w:val="Subst"/>
              </w:rPr>
            </w:pPr>
            <w:r w:rsidRPr="000F7929">
              <w:rPr>
                <w:rStyle w:val="Subst"/>
              </w:rPr>
              <w:t>2018</w:t>
            </w:r>
          </w:p>
        </w:tc>
        <w:tc>
          <w:tcPr>
            <w:tcW w:w="1075" w:type="dxa"/>
          </w:tcPr>
          <w:p w14:paraId="4B25783F" w14:textId="77777777" w:rsidR="00026752" w:rsidRPr="008F3C82" w:rsidRDefault="00026752" w:rsidP="00E342F3">
            <w:pPr>
              <w:jc w:val="center"/>
              <w:rPr>
                <w:rStyle w:val="Subst"/>
                <w:lang w:val="en-US"/>
              </w:rPr>
            </w:pPr>
            <w:r>
              <w:rPr>
                <w:rStyle w:val="Subst"/>
                <w:lang w:val="en-US"/>
              </w:rPr>
              <w:t>2019</w:t>
            </w:r>
          </w:p>
        </w:tc>
        <w:tc>
          <w:tcPr>
            <w:tcW w:w="1016" w:type="dxa"/>
          </w:tcPr>
          <w:p w14:paraId="7782EA24" w14:textId="77777777" w:rsidR="00026752" w:rsidRDefault="00026752" w:rsidP="00E342F3">
            <w:pPr>
              <w:jc w:val="center"/>
              <w:rPr>
                <w:rStyle w:val="Subst"/>
                <w:lang w:val="en-US"/>
              </w:rPr>
            </w:pPr>
            <w:r>
              <w:rPr>
                <w:rStyle w:val="Subst"/>
                <w:lang w:val="en-US"/>
              </w:rPr>
              <w:t>2020</w:t>
            </w:r>
          </w:p>
        </w:tc>
        <w:tc>
          <w:tcPr>
            <w:tcW w:w="986" w:type="dxa"/>
          </w:tcPr>
          <w:p w14:paraId="745D5E70" w14:textId="77777777" w:rsidR="00026752" w:rsidRDefault="00026752" w:rsidP="00E342F3">
            <w:pPr>
              <w:jc w:val="center"/>
              <w:rPr>
                <w:rStyle w:val="Subst"/>
                <w:lang w:val="en-US"/>
              </w:rPr>
            </w:pPr>
            <w:r>
              <w:rPr>
                <w:rStyle w:val="Subst"/>
                <w:lang w:val="en-US"/>
              </w:rPr>
              <w:t>2021</w:t>
            </w:r>
          </w:p>
        </w:tc>
        <w:tc>
          <w:tcPr>
            <w:tcW w:w="986" w:type="dxa"/>
          </w:tcPr>
          <w:p w14:paraId="3CFCD62A" w14:textId="77777777" w:rsidR="00026752" w:rsidRPr="00C01988" w:rsidRDefault="00026752" w:rsidP="00E342F3">
            <w:pPr>
              <w:jc w:val="center"/>
              <w:rPr>
                <w:rStyle w:val="Subst"/>
              </w:rPr>
            </w:pPr>
            <w:r>
              <w:rPr>
                <w:rStyle w:val="Subst"/>
              </w:rPr>
              <w:t>2022</w:t>
            </w:r>
          </w:p>
        </w:tc>
      </w:tr>
      <w:tr w:rsidR="00026752" w:rsidRPr="000F7929" w14:paraId="45E1ACD3" w14:textId="77777777" w:rsidTr="00E342F3">
        <w:tc>
          <w:tcPr>
            <w:tcW w:w="1145" w:type="dxa"/>
          </w:tcPr>
          <w:p w14:paraId="7E24D1D6" w14:textId="77777777" w:rsidR="00026752" w:rsidRPr="000F7929" w:rsidRDefault="00026752" w:rsidP="00E342F3">
            <w:pPr>
              <w:rPr>
                <w:rStyle w:val="Subst"/>
              </w:rPr>
            </w:pPr>
            <w:r w:rsidRPr="000F7929">
              <w:rPr>
                <w:rStyle w:val="Subst"/>
              </w:rPr>
              <w:t>Всего</w:t>
            </w:r>
          </w:p>
        </w:tc>
        <w:tc>
          <w:tcPr>
            <w:tcW w:w="1092" w:type="dxa"/>
          </w:tcPr>
          <w:p w14:paraId="65930D07" w14:textId="77777777" w:rsidR="00026752" w:rsidRDefault="00026752" w:rsidP="00E342F3">
            <w:pPr>
              <w:jc w:val="center"/>
            </w:pPr>
            <w:r w:rsidRPr="000F7929">
              <w:rPr>
                <w:rStyle w:val="Subst"/>
              </w:rPr>
              <w:t>73 725</w:t>
            </w:r>
          </w:p>
        </w:tc>
        <w:tc>
          <w:tcPr>
            <w:tcW w:w="1075" w:type="dxa"/>
          </w:tcPr>
          <w:p w14:paraId="5567C359" w14:textId="77777777" w:rsidR="00026752" w:rsidRPr="000F7929" w:rsidRDefault="00026752" w:rsidP="00E342F3">
            <w:pPr>
              <w:jc w:val="center"/>
              <w:rPr>
                <w:rStyle w:val="Subst"/>
              </w:rPr>
            </w:pPr>
            <w:r w:rsidRPr="008F3C82">
              <w:rPr>
                <w:rStyle w:val="Subst"/>
              </w:rPr>
              <w:t>76 692</w:t>
            </w:r>
          </w:p>
        </w:tc>
        <w:tc>
          <w:tcPr>
            <w:tcW w:w="1016" w:type="dxa"/>
          </w:tcPr>
          <w:p w14:paraId="08BE0633" w14:textId="77777777" w:rsidR="00026752" w:rsidRPr="008F3C82" w:rsidRDefault="00026752" w:rsidP="00E342F3">
            <w:pPr>
              <w:jc w:val="center"/>
              <w:rPr>
                <w:rStyle w:val="Subst"/>
              </w:rPr>
            </w:pPr>
            <w:r>
              <w:rPr>
                <w:rStyle w:val="Subst"/>
              </w:rPr>
              <w:t>75 660</w:t>
            </w:r>
          </w:p>
        </w:tc>
        <w:tc>
          <w:tcPr>
            <w:tcW w:w="986" w:type="dxa"/>
          </w:tcPr>
          <w:p w14:paraId="7D009656" w14:textId="77777777" w:rsidR="00026752" w:rsidRDefault="00026752" w:rsidP="00E342F3">
            <w:pPr>
              <w:jc w:val="center"/>
              <w:rPr>
                <w:rStyle w:val="Subst"/>
              </w:rPr>
            </w:pPr>
            <w:r>
              <w:rPr>
                <w:rStyle w:val="Subst"/>
              </w:rPr>
              <w:t>68 679</w:t>
            </w:r>
          </w:p>
        </w:tc>
        <w:tc>
          <w:tcPr>
            <w:tcW w:w="986" w:type="dxa"/>
          </w:tcPr>
          <w:p w14:paraId="1A9449D8" w14:textId="77777777" w:rsidR="00026752" w:rsidRPr="00C01988" w:rsidRDefault="00026752" w:rsidP="00E342F3">
            <w:pPr>
              <w:jc w:val="center"/>
              <w:rPr>
                <w:rStyle w:val="Subst"/>
                <w:rFonts w:ascii="Calibri" w:eastAsia="Times New Roman" w:hAnsi="Calibri" w:cs="Calibri"/>
                <w:b w:val="0"/>
                <w:bCs w:val="0"/>
                <w:i w:val="0"/>
                <w:iCs w:val="0"/>
              </w:rPr>
            </w:pPr>
            <w:r w:rsidRPr="00C01988">
              <w:rPr>
                <w:rStyle w:val="Subst"/>
              </w:rPr>
              <w:t>60 553</w:t>
            </w:r>
          </w:p>
        </w:tc>
      </w:tr>
    </w:tbl>
    <w:p w14:paraId="723C3DA9" w14:textId="77777777" w:rsidR="00E77650" w:rsidRDefault="00E01351" w:rsidP="00E77650">
      <w:pPr>
        <w:spacing w:after="240"/>
      </w:pPr>
      <w:r>
        <w:rPr>
          <w:rStyle w:val="Subst"/>
        </w:rPr>
        <w:br/>
      </w:r>
      <w:r>
        <w:rPr>
          <w:rStyle w:val="Subst"/>
        </w:rPr>
        <w:br/>
        <w:t>Оценка соответствия результатов деятельности эмитента тенденциям развития отрасли:</w:t>
      </w:r>
      <w:r>
        <w:rPr>
          <w:rStyle w:val="Subst"/>
        </w:rPr>
        <w:br/>
      </w:r>
      <w:r>
        <w:rPr>
          <w:rStyle w:val="Subst"/>
        </w:rPr>
        <w:br/>
        <w:t>Результаты деятельности Эмитента соответствуют тенденциям развития отрасли.</w:t>
      </w:r>
      <w:r>
        <w:rPr>
          <w:rStyle w:val="Subst"/>
        </w:rPr>
        <w:br/>
      </w:r>
      <w:r>
        <w:rPr>
          <w:rStyle w:val="Subst"/>
        </w:rPr>
        <w:br/>
        <w:t>Причины, обосновывающие полученные результаты деятельности (удовлетворительные и неудовлетворительные, по мнению эмитента, результаты):</w:t>
      </w:r>
      <w:r>
        <w:rPr>
          <w:rStyle w:val="Subst"/>
        </w:rPr>
        <w:br/>
        <w:t xml:space="preserve"> </w:t>
      </w:r>
      <w:r>
        <w:rPr>
          <w:rStyle w:val="Subst"/>
        </w:rPr>
        <w:tab/>
        <w:t xml:space="preserve"> </w:t>
      </w:r>
      <w:r>
        <w:rPr>
          <w:rStyle w:val="Subst"/>
        </w:rPr>
        <w:br/>
        <w:t xml:space="preserve">        Причины, оказавшие позитивное влияние на достижение удовлетворительных результатов Эмитента, заключаются, прежде всего, в эффективном управлении Компанией, постановке корректных целей развития деятельности Компании, успешной реализации планов по развитию бизнеса и позиционировании на рынке, в том числе:</w:t>
      </w:r>
      <w:r>
        <w:rPr>
          <w:rStyle w:val="Subst"/>
        </w:rPr>
        <w:br/>
        <w:t xml:space="preserve">    - высокий уровень системы корпоративного управления Эмитента, соответствующей лучшей мировой практике, высоко профессиональный менеджмент Эмитента;</w:t>
      </w:r>
      <w:r>
        <w:rPr>
          <w:rStyle w:val="Subst"/>
        </w:rPr>
        <w:br/>
        <w:t xml:space="preserve">    - развитие и удержание клиентской базы (сотрудничество с крупнейшими промышленными предприятиями на территории РФ); </w:t>
      </w:r>
      <w:r>
        <w:rPr>
          <w:rStyle w:val="Subst"/>
        </w:rPr>
        <w:br/>
        <w:t xml:space="preserve">    - максимальное удовлетворение потребностей ключевых клиентов Эмитента; </w:t>
      </w:r>
      <w:r>
        <w:rPr>
          <w:rStyle w:val="Subst"/>
        </w:rPr>
        <w:br/>
        <w:t xml:space="preserve">    - применение эффективной системы управления вагонным парком Эмитента;</w:t>
      </w:r>
      <w:r>
        <w:rPr>
          <w:rStyle w:val="Subst"/>
        </w:rPr>
        <w:br/>
        <w:t xml:space="preserve">    - разработка и использование инновационных технологий и методик в управлении бизнесом;</w:t>
      </w:r>
      <w:r>
        <w:rPr>
          <w:rStyle w:val="Subst"/>
        </w:rPr>
        <w:br/>
        <w:t xml:space="preserve">    - эффективная кадровая политика Компании, ориентированная на привлечение ведущих отраслевых специалистов.</w:t>
      </w:r>
      <w:r>
        <w:rPr>
          <w:rStyle w:val="Subst"/>
        </w:rPr>
        <w:br/>
      </w:r>
      <w:r>
        <w:rPr>
          <w:rStyle w:val="Subst"/>
        </w:rPr>
        <w:br/>
      </w:r>
      <w:r>
        <w:rPr>
          <w:rStyle w:val="Subst"/>
        </w:rPr>
        <w:br/>
        <w:t xml:space="preserve">По итогам 2018 года количество вагонов, находящихся в собственности, а также во владении и пользовании Общества, составило 48 051 единиц, из них полувагоны – 44 385 единиц, цистерны – 2 695 единиц, хопперы – 90 единиц, платформы – 750 единиц, локомотивы – 8 единиц, прочие виды подвижного состава – 123 единиц. Средний возраст собственного вагонного парка на 31.12.2018 составлял 9,0 лет. Доля грузов, перевозку которых организовало Общество, в общем объеме грузов, перевезенных по сети железных дорог ОАО «РЖД», по итогам 2018 года составила порядка 5,7%. </w:t>
      </w:r>
      <w:r>
        <w:rPr>
          <w:rStyle w:val="Subst"/>
        </w:rPr>
        <w:br/>
        <w:t>По итогам 2019 года количество вагонов, находящихся в собственности, а также во владении и пользовании Общества, составило 49 322 единиц, из них полувагоны – 45 014 единиц, цистерны – 2 695 единиц, хопперы – 90 единиц, платформы – 1 387 единиц, локомотивы – 4 единиц, прочие виды подвижного состава – 132 единиц. Средний возраст собственного вагонного парка на 31.12.2019 составлял 9,6 лет. Доля грузов, перевозку которых организовало Общество, в общем объеме грузов, перевезенных по сети железных дорог ОАО «РЖД», по итогам 2019 года составила порядка 6,0%.</w:t>
      </w:r>
      <w:r>
        <w:rPr>
          <w:rStyle w:val="Subst"/>
        </w:rPr>
        <w:br/>
      </w:r>
      <w:r>
        <w:rPr>
          <w:rStyle w:val="Subst"/>
        </w:rPr>
        <w:br/>
        <w:t xml:space="preserve">По итогам 2020 года количество вагонов, находящихся в собственности, а также во владении и </w:t>
      </w:r>
      <w:r>
        <w:rPr>
          <w:rStyle w:val="Subst"/>
        </w:rPr>
        <w:lastRenderedPageBreak/>
        <w:t>пользовании Общества, составило 49 491 единиц, из них полувагоны – 45 041 единиц, цистерны – 2 693 единиц, хопперы – 90 единиц, платформы – 1 584 единиц, локомотивы – 4 единиц, прочие виды подвижного состава – 79 единиц. Средний возраст собственного вагонного парка на 31.12.2020 составлял 10,4 лет. Доля грузов, перевозку которых организовало Общество, в общем объеме грузов, перевезенных по сети железных дорог ОАО «РЖД», по 2020 года составила порядка 6,1%.</w:t>
      </w:r>
      <w:r>
        <w:rPr>
          <w:rStyle w:val="Subst"/>
        </w:rPr>
        <w:br/>
      </w:r>
      <w:r>
        <w:rPr>
          <w:rStyle w:val="Subst"/>
        </w:rPr>
        <w:br/>
        <w:t>По итогам 2021 года количество вагонов, находящихся в собственности, а также во владении и пользовании Общества, составило 51 519 единиц, из них полувагоны – 47 169 единиц, цистерны – 2 693 единиц, хопперы – 90 единиц, платформы – 1 562 единиц, локомотивы – 4 единиц, прочие виды подвижного состава – 1 единица. Средний возраст собственного вагонного парка на 31.12.2021 составлял 11,4 лет. Доля грузов, перевозку которых организовало Общество, в общем объеме грузов, перевезенных по сети железных дорог ОАО «РЖД», по итогам 2021 года составила порядка 5,3%.</w:t>
      </w:r>
      <w:r>
        <w:rPr>
          <w:rStyle w:val="Subst"/>
        </w:rPr>
        <w:br/>
      </w:r>
      <w:r>
        <w:rPr>
          <w:rStyle w:val="Subst"/>
        </w:rPr>
        <w:br/>
      </w:r>
      <w:r w:rsidR="00E77650">
        <w:rPr>
          <w:rStyle w:val="Subst"/>
        </w:rPr>
        <w:t>По итогам 2022 года количество вагонов, находящихся в собственности, а также во владении и пользовании Общества, составило 49 933 единицы, из них полувагоны – 45 698 единиц, цистерны – 2 693 единицы, платформы – 1 538 единиц, локомотивы – 4 единиц. Средний возраст собственного вагонного парка на 31.12.2022 составлял 12,1 лет. Доля грузов, перевозку которых организовало Общество, в общем объеме грузов, перевезенных по сети железных дорог ОАО «РЖД», по итогам 2022 года составила порядка 4,9%.</w:t>
      </w:r>
    </w:p>
    <w:p w14:paraId="7DAFEDD2" w14:textId="16D888BA" w:rsidR="00294767" w:rsidRDefault="00E01351" w:rsidP="0019031F">
      <w:pPr>
        <w:ind w:left="200"/>
        <w:jc w:val="both"/>
      </w:pPr>
      <w:r>
        <w:rPr>
          <w:rStyle w:val="Subst"/>
        </w:rPr>
        <w:br/>
        <w:t>На рынке перевозок грузов Эмитент оказывает услуги по организации перевозки грузов клиентов в собственном или арендованном подвижном составе по территории Российской Федерации, экспортных грузов клиентов со станций Российских железных дорог в страны СНГ и другие страны на экспорт, а также транзитных и импортных грузов с сопредельных стран.</w:t>
      </w:r>
      <w:r>
        <w:rPr>
          <w:rStyle w:val="Subst"/>
        </w:rPr>
        <w:br/>
        <w:t xml:space="preserve">        Объем выручки от оказания услуг по перевозке грузов клиентов по итогам 2022 года составил 97,</w:t>
      </w:r>
      <w:r w:rsidR="00B9217A">
        <w:rPr>
          <w:rStyle w:val="Subst"/>
        </w:rPr>
        <w:t>5</w:t>
      </w:r>
      <w:r>
        <w:rPr>
          <w:rStyle w:val="Subst"/>
        </w:rPr>
        <w:t>% в общем объеме выручки (по данным РСБУ).</w:t>
      </w:r>
      <w:r>
        <w:rPr>
          <w:rStyle w:val="Subst"/>
        </w:rPr>
        <w:br/>
      </w:r>
      <w:r>
        <w:rPr>
          <w:rStyle w:val="Subst"/>
        </w:rPr>
        <w:br/>
        <w:t xml:space="preserve">        Основными рынками, на которых Эмитент осуществляет основную хозяйственную деятельность, являются рынки перевозки грузов в универсальных полувагонах.</w:t>
      </w:r>
      <w:r>
        <w:rPr>
          <w:rStyle w:val="Subst"/>
        </w:rPr>
        <w:br/>
        <w:t xml:space="preserve">        Основу вагонного парка Эмитента составляют полувагоны. Парк позволяет укреплять и расширять свое присутствие в перевозках универсальных (металлургических, насыпных) грузов. </w:t>
      </w:r>
      <w:r>
        <w:rPr>
          <w:rStyle w:val="Subst"/>
        </w:rPr>
        <w:br/>
        <w:t xml:space="preserve">        Основными клиентами и грузоотправителями Эмитента являются крупнейшие промышленные компании</w:t>
      </w:r>
      <w:r w:rsidR="0052532B">
        <w:rPr>
          <w:rStyle w:val="Subst"/>
        </w:rPr>
        <w:t xml:space="preserve">, </w:t>
      </w:r>
      <w:r>
        <w:rPr>
          <w:rStyle w:val="Subst"/>
        </w:rPr>
        <w:t>для которых Эмитент в основной своей деятельности осуществляет перевозку горно-металлургических грузов (металла, руды, металлолома), углей и коксов, а так же минерально-строительных грузов (цемент, щебень и др.).</w:t>
      </w:r>
      <w:r>
        <w:rPr>
          <w:rStyle w:val="Subst"/>
        </w:rPr>
        <w:br/>
      </w:r>
      <w:r>
        <w:rPr>
          <w:rStyle w:val="Subst"/>
        </w:rPr>
        <w:b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Pr>
          <w:rStyle w:val="Subst"/>
        </w:rPr>
        <w:br/>
      </w:r>
      <w:r>
        <w:rPr>
          <w:rStyle w:val="Subst"/>
        </w:rPr>
        <w:br/>
        <w:t>Основные факторы, влияющие на сбыт Эмитентом его продукции (работ, услуг), перечислены ниже:</w:t>
      </w:r>
      <w:r>
        <w:rPr>
          <w:rStyle w:val="Subst"/>
        </w:rPr>
        <w:br/>
        <w:t xml:space="preserve">        1)</w:t>
      </w:r>
      <w:r>
        <w:rPr>
          <w:rStyle w:val="Subst"/>
        </w:rPr>
        <w:tab/>
        <w:t>Изменение макроэкономической ситуации в России и снижение спроса на товары российского экспорта, а также обострение конкуренции в отдельных сегментах рынка перевозок между различными видами транспорта;</w:t>
      </w:r>
      <w:r>
        <w:rPr>
          <w:rStyle w:val="Subst"/>
        </w:rPr>
        <w:br/>
        <w:t xml:space="preserve">        2)</w:t>
      </w:r>
      <w:r>
        <w:rPr>
          <w:rStyle w:val="Subst"/>
        </w:rPr>
        <w:tab/>
        <w:t xml:space="preserve">Изменение тарифов ОАО «РЖД» и других ценовых условий, влияющих на рынок грузоперевозок; </w:t>
      </w:r>
      <w:r>
        <w:rPr>
          <w:rStyle w:val="Subst"/>
        </w:rPr>
        <w:br/>
        <w:t xml:space="preserve">        3)</w:t>
      </w:r>
      <w:r>
        <w:rPr>
          <w:rStyle w:val="Subst"/>
        </w:rPr>
        <w:tab/>
        <w:t>Прочие факторы, влияющие на результат деятельности Эмитента:</w:t>
      </w:r>
      <w:r>
        <w:rPr>
          <w:rStyle w:val="Subst"/>
        </w:rPr>
        <w:br/>
        <w:t xml:space="preserve">              - Изменение конкурентной среды;</w:t>
      </w:r>
      <w:r>
        <w:rPr>
          <w:rStyle w:val="Subst"/>
        </w:rPr>
        <w:br/>
        <w:t xml:space="preserve">              - Таможенная политика РФ;</w:t>
      </w:r>
      <w:r>
        <w:rPr>
          <w:rStyle w:val="Subst"/>
        </w:rPr>
        <w:br/>
        <w:t xml:space="preserve">              - Колебания валютных курсов.</w:t>
      </w:r>
      <w:r>
        <w:rPr>
          <w:rStyle w:val="Subst"/>
        </w:rPr>
        <w:br/>
      </w:r>
      <w:r>
        <w:rPr>
          <w:rStyle w:val="Subst"/>
        </w:rPr>
        <w:br/>
        <w:t>Возможные действия эмитента по уменьшению такого влияния:</w:t>
      </w:r>
      <w:r>
        <w:rPr>
          <w:rStyle w:val="Subst"/>
        </w:rPr>
        <w:br/>
        <w:t xml:space="preserve">        1) Согласно выбранной политике деятельности Эмитента, основное внимание уделяется:</w:t>
      </w:r>
      <w:r>
        <w:rPr>
          <w:rStyle w:val="Subst"/>
        </w:rPr>
        <w:br/>
        <w:t xml:space="preserve">            - направлениям перевозок (поиск наиболее доходных направлений);</w:t>
      </w:r>
      <w:r>
        <w:rPr>
          <w:rStyle w:val="Subst"/>
        </w:rPr>
        <w:br/>
        <w:t xml:space="preserve">            - логистике (реализация действий, направленных на снижение порожнего пробега);</w:t>
      </w:r>
      <w:r>
        <w:rPr>
          <w:rStyle w:val="Subst"/>
        </w:rPr>
        <w:br/>
        <w:t xml:space="preserve">            - клиентской базе (индивидуальный подход к каждому клиенту, увеличение стабильной клиентской базы, увеличение объемов и количества груженых отправок);</w:t>
      </w:r>
      <w:r>
        <w:rPr>
          <w:rStyle w:val="Subst"/>
        </w:rPr>
        <w:br/>
        <w:t xml:space="preserve">        2) Увеличение количества подвижного состава, используемого в своей деятельности Эмитентом (увеличение объема парка дает возможность расширять спектр оказываемых услуг);</w:t>
      </w:r>
      <w:r>
        <w:rPr>
          <w:rStyle w:val="Subst"/>
        </w:rPr>
        <w:br/>
        <w:t xml:space="preserve">        3) Прогнозы Министерства экономического развития Российской Федерации, Министерства транспорта Российской Федерации позволяют Эмитенту сделать выводы о растущем спросе потребителей на услуги железнодорожных перевозок, что, в свою очередь, </w:t>
      </w:r>
      <w:r>
        <w:rPr>
          <w:rStyle w:val="Subst"/>
        </w:rPr>
        <w:lastRenderedPageBreak/>
        <w:t>обеспечит Эмитенту увеличение объема оказываемых услуг и, как следствие, рост доходов Эмитента.</w:t>
      </w:r>
      <w:r>
        <w:rPr>
          <w:rStyle w:val="Subst"/>
        </w:rPr>
        <w:br/>
      </w:r>
    </w:p>
    <w:p w14:paraId="349793B0" w14:textId="77777777" w:rsidR="00294767" w:rsidRDefault="00E01351">
      <w:pPr>
        <w:pStyle w:val="2"/>
      </w:pPr>
      <w:bookmarkStart w:id="6" w:name="_Toc133918757"/>
      <w:r>
        <w:t>1.3. Основные операционные показатели, характеризующие деятельность эмитента</w:t>
      </w:r>
      <w:bookmarkEnd w:id="6"/>
    </w:p>
    <w:p w14:paraId="360986B4" w14:textId="77777777" w:rsidR="00294767" w:rsidRDefault="00E01351">
      <w:pPr>
        <w:pStyle w:val="SubHeading"/>
        <w:ind w:left="200"/>
      </w:pPr>
      <w:r>
        <w:t>Операционные показатели</w:t>
      </w:r>
    </w:p>
    <w:p w14:paraId="268170F9" w14:textId="77777777" w:rsidR="00294767" w:rsidRDefault="00294767">
      <w:pPr>
        <w:pStyle w:val="ThinDelim"/>
      </w:pPr>
    </w:p>
    <w:tbl>
      <w:tblPr>
        <w:tblW w:w="9252" w:type="dxa"/>
        <w:tblLayout w:type="fixed"/>
        <w:tblCellMar>
          <w:left w:w="72" w:type="dxa"/>
          <w:right w:w="72" w:type="dxa"/>
        </w:tblCellMar>
        <w:tblLook w:val="0000" w:firstRow="0" w:lastRow="0" w:firstColumn="0" w:lastColumn="0" w:noHBand="0" w:noVBand="0"/>
      </w:tblPr>
      <w:tblGrid>
        <w:gridCol w:w="4041"/>
        <w:gridCol w:w="1511"/>
        <w:gridCol w:w="1820"/>
        <w:gridCol w:w="1880"/>
      </w:tblGrid>
      <w:tr w:rsidR="00294767" w14:paraId="109335EE" w14:textId="77777777" w:rsidTr="00ED38C0">
        <w:tc>
          <w:tcPr>
            <w:tcW w:w="4041" w:type="dxa"/>
            <w:tcBorders>
              <w:top w:val="double" w:sz="6" w:space="0" w:color="auto"/>
              <w:left w:val="double" w:sz="6" w:space="0" w:color="auto"/>
              <w:bottom w:val="single" w:sz="6" w:space="0" w:color="auto"/>
              <w:right w:val="single" w:sz="6" w:space="0" w:color="auto"/>
            </w:tcBorders>
          </w:tcPr>
          <w:p w14:paraId="4ED7C22B" w14:textId="77777777" w:rsidR="00294767" w:rsidRDefault="00E01351">
            <w:pPr>
              <w:jc w:val="center"/>
            </w:pPr>
            <w:r>
              <w:t>Наименование показателя</w:t>
            </w:r>
          </w:p>
        </w:tc>
        <w:tc>
          <w:tcPr>
            <w:tcW w:w="1511" w:type="dxa"/>
            <w:tcBorders>
              <w:top w:val="double" w:sz="6" w:space="0" w:color="auto"/>
              <w:left w:val="single" w:sz="6" w:space="0" w:color="auto"/>
              <w:bottom w:val="single" w:sz="6" w:space="0" w:color="auto"/>
              <w:right w:val="single" w:sz="6" w:space="0" w:color="auto"/>
            </w:tcBorders>
          </w:tcPr>
          <w:p w14:paraId="4640D0ED" w14:textId="77777777" w:rsidR="00294767" w:rsidRDefault="00E01351">
            <w:pPr>
              <w:jc w:val="center"/>
            </w:pPr>
            <w:r>
              <w:t>Единица измерения</w:t>
            </w:r>
          </w:p>
        </w:tc>
        <w:tc>
          <w:tcPr>
            <w:tcW w:w="1820" w:type="dxa"/>
            <w:tcBorders>
              <w:top w:val="double" w:sz="6" w:space="0" w:color="auto"/>
              <w:left w:val="single" w:sz="6" w:space="0" w:color="auto"/>
              <w:bottom w:val="single" w:sz="6" w:space="0" w:color="auto"/>
              <w:right w:val="single" w:sz="6" w:space="0" w:color="auto"/>
            </w:tcBorders>
          </w:tcPr>
          <w:p w14:paraId="3F9BDDC1" w14:textId="77777777" w:rsidR="00294767" w:rsidRDefault="00E01351">
            <w:pPr>
              <w:jc w:val="center"/>
            </w:pPr>
            <w:r>
              <w:t>2021, 12 мес.</w:t>
            </w:r>
          </w:p>
        </w:tc>
        <w:tc>
          <w:tcPr>
            <w:tcW w:w="1880" w:type="dxa"/>
            <w:tcBorders>
              <w:top w:val="double" w:sz="6" w:space="0" w:color="auto"/>
              <w:left w:val="single" w:sz="6" w:space="0" w:color="auto"/>
              <w:bottom w:val="single" w:sz="6" w:space="0" w:color="auto"/>
              <w:right w:val="double" w:sz="6" w:space="0" w:color="auto"/>
            </w:tcBorders>
          </w:tcPr>
          <w:p w14:paraId="5996FDCB" w14:textId="77777777" w:rsidR="00294767" w:rsidRDefault="00E01351">
            <w:pPr>
              <w:jc w:val="center"/>
            </w:pPr>
            <w:r>
              <w:t>2022, 12 мес.</w:t>
            </w:r>
          </w:p>
        </w:tc>
      </w:tr>
      <w:tr w:rsidR="00294767" w14:paraId="31344498" w14:textId="77777777" w:rsidTr="00ED38C0">
        <w:tc>
          <w:tcPr>
            <w:tcW w:w="4041" w:type="dxa"/>
            <w:tcBorders>
              <w:top w:val="single" w:sz="6" w:space="0" w:color="auto"/>
              <w:left w:val="double" w:sz="6" w:space="0" w:color="auto"/>
              <w:bottom w:val="single" w:sz="6" w:space="0" w:color="auto"/>
              <w:right w:val="single" w:sz="6" w:space="0" w:color="auto"/>
            </w:tcBorders>
          </w:tcPr>
          <w:p w14:paraId="7A88B57D" w14:textId="77777777" w:rsidR="00294767" w:rsidRDefault="00E01351">
            <w:r>
              <w:t>Парк на конец периода</w:t>
            </w:r>
          </w:p>
        </w:tc>
        <w:tc>
          <w:tcPr>
            <w:tcW w:w="1511" w:type="dxa"/>
            <w:tcBorders>
              <w:top w:val="single" w:sz="6" w:space="0" w:color="auto"/>
              <w:left w:val="single" w:sz="6" w:space="0" w:color="auto"/>
              <w:bottom w:val="single" w:sz="6" w:space="0" w:color="auto"/>
              <w:right w:val="single" w:sz="6" w:space="0" w:color="auto"/>
            </w:tcBorders>
          </w:tcPr>
          <w:p w14:paraId="69A767EE" w14:textId="77777777" w:rsidR="00294767" w:rsidRDefault="00E01351" w:rsidP="00ED38C0">
            <w:pPr>
              <w:jc w:val="center"/>
            </w:pPr>
            <w:r>
              <w:t>ед</w:t>
            </w:r>
          </w:p>
        </w:tc>
        <w:tc>
          <w:tcPr>
            <w:tcW w:w="1820" w:type="dxa"/>
            <w:tcBorders>
              <w:top w:val="single" w:sz="6" w:space="0" w:color="auto"/>
              <w:left w:val="single" w:sz="6" w:space="0" w:color="auto"/>
              <w:bottom w:val="single" w:sz="6" w:space="0" w:color="auto"/>
              <w:right w:val="single" w:sz="6" w:space="0" w:color="auto"/>
            </w:tcBorders>
          </w:tcPr>
          <w:p w14:paraId="564B087A" w14:textId="77777777" w:rsidR="00294767" w:rsidRDefault="00E01351" w:rsidP="00ED38C0">
            <w:pPr>
              <w:jc w:val="right"/>
            </w:pPr>
            <w:r>
              <w:t>51 519</w:t>
            </w:r>
          </w:p>
        </w:tc>
        <w:tc>
          <w:tcPr>
            <w:tcW w:w="1880" w:type="dxa"/>
            <w:tcBorders>
              <w:top w:val="single" w:sz="6" w:space="0" w:color="auto"/>
              <w:left w:val="single" w:sz="6" w:space="0" w:color="auto"/>
              <w:bottom w:val="single" w:sz="6" w:space="0" w:color="auto"/>
              <w:right w:val="double" w:sz="6" w:space="0" w:color="auto"/>
            </w:tcBorders>
          </w:tcPr>
          <w:p w14:paraId="17910332" w14:textId="03121857" w:rsidR="00294767" w:rsidRDefault="00E01351" w:rsidP="00ED38C0">
            <w:pPr>
              <w:jc w:val="right"/>
            </w:pPr>
            <w:r>
              <w:t>49</w:t>
            </w:r>
            <w:r w:rsidR="00315503">
              <w:t> </w:t>
            </w:r>
            <w:r>
              <w:t>933</w:t>
            </w:r>
            <w:r w:rsidR="00315503">
              <w:t>*</w:t>
            </w:r>
          </w:p>
        </w:tc>
      </w:tr>
      <w:tr w:rsidR="00294767" w14:paraId="0E0187E4" w14:textId="77777777" w:rsidTr="00ED38C0">
        <w:tc>
          <w:tcPr>
            <w:tcW w:w="4041" w:type="dxa"/>
            <w:tcBorders>
              <w:top w:val="single" w:sz="6" w:space="0" w:color="auto"/>
              <w:left w:val="double" w:sz="6" w:space="0" w:color="auto"/>
              <w:bottom w:val="single" w:sz="6" w:space="0" w:color="auto"/>
              <w:right w:val="single" w:sz="6" w:space="0" w:color="auto"/>
            </w:tcBorders>
          </w:tcPr>
          <w:p w14:paraId="3D38543C" w14:textId="77777777" w:rsidR="00294767" w:rsidRDefault="00E01351">
            <w:r>
              <w:t>Полувагоны</w:t>
            </w:r>
          </w:p>
        </w:tc>
        <w:tc>
          <w:tcPr>
            <w:tcW w:w="1511" w:type="dxa"/>
            <w:tcBorders>
              <w:top w:val="single" w:sz="6" w:space="0" w:color="auto"/>
              <w:left w:val="single" w:sz="6" w:space="0" w:color="auto"/>
              <w:bottom w:val="single" w:sz="6" w:space="0" w:color="auto"/>
              <w:right w:val="single" w:sz="6" w:space="0" w:color="auto"/>
            </w:tcBorders>
          </w:tcPr>
          <w:p w14:paraId="3504538B" w14:textId="77777777" w:rsidR="00294767" w:rsidRDefault="00E01351" w:rsidP="00ED38C0">
            <w:pPr>
              <w:jc w:val="center"/>
            </w:pPr>
            <w:r>
              <w:t>ед</w:t>
            </w:r>
          </w:p>
        </w:tc>
        <w:tc>
          <w:tcPr>
            <w:tcW w:w="1820" w:type="dxa"/>
            <w:tcBorders>
              <w:top w:val="single" w:sz="6" w:space="0" w:color="auto"/>
              <w:left w:val="single" w:sz="6" w:space="0" w:color="auto"/>
              <w:bottom w:val="single" w:sz="6" w:space="0" w:color="auto"/>
              <w:right w:val="single" w:sz="6" w:space="0" w:color="auto"/>
            </w:tcBorders>
          </w:tcPr>
          <w:p w14:paraId="0205DBDC" w14:textId="77777777" w:rsidR="00294767" w:rsidRDefault="00E01351" w:rsidP="00ED38C0">
            <w:pPr>
              <w:jc w:val="right"/>
            </w:pPr>
            <w:r>
              <w:t>47 169</w:t>
            </w:r>
          </w:p>
        </w:tc>
        <w:tc>
          <w:tcPr>
            <w:tcW w:w="1880" w:type="dxa"/>
            <w:tcBorders>
              <w:top w:val="single" w:sz="6" w:space="0" w:color="auto"/>
              <w:left w:val="single" w:sz="6" w:space="0" w:color="auto"/>
              <w:bottom w:val="single" w:sz="6" w:space="0" w:color="auto"/>
              <w:right w:val="double" w:sz="6" w:space="0" w:color="auto"/>
            </w:tcBorders>
          </w:tcPr>
          <w:p w14:paraId="35D02AAA" w14:textId="77777777" w:rsidR="00294767" w:rsidRDefault="00E01351" w:rsidP="00ED38C0">
            <w:pPr>
              <w:jc w:val="right"/>
            </w:pPr>
            <w:r>
              <w:t>45 698</w:t>
            </w:r>
          </w:p>
        </w:tc>
      </w:tr>
      <w:tr w:rsidR="00294767" w14:paraId="25BCABF2" w14:textId="77777777" w:rsidTr="00ED38C0">
        <w:tc>
          <w:tcPr>
            <w:tcW w:w="4041" w:type="dxa"/>
            <w:tcBorders>
              <w:top w:val="single" w:sz="6" w:space="0" w:color="auto"/>
              <w:left w:val="double" w:sz="6" w:space="0" w:color="auto"/>
              <w:bottom w:val="single" w:sz="6" w:space="0" w:color="auto"/>
              <w:right w:val="single" w:sz="6" w:space="0" w:color="auto"/>
            </w:tcBorders>
          </w:tcPr>
          <w:p w14:paraId="6BC6EEEC" w14:textId="77777777" w:rsidR="00294767" w:rsidRDefault="00E01351">
            <w:r>
              <w:t>Прочие</w:t>
            </w:r>
          </w:p>
        </w:tc>
        <w:tc>
          <w:tcPr>
            <w:tcW w:w="1511" w:type="dxa"/>
            <w:tcBorders>
              <w:top w:val="single" w:sz="6" w:space="0" w:color="auto"/>
              <w:left w:val="single" w:sz="6" w:space="0" w:color="auto"/>
              <w:bottom w:val="single" w:sz="6" w:space="0" w:color="auto"/>
              <w:right w:val="single" w:sz="6" w:space="0" w:color="auto"/>
            </w:tcBorders>
          </w:tcPr>
          <w:p w14:paraId="49C8BD4F" w14:textId="77777777" w:rsidR="00294767" w:rsidRDefault="00E01351" w:rsidP="00ED38C0">
            <w:pPr>
              <w:jc w:val="center"/>
            </w:pPr>
            <w:r>
              <w:t>ед</w:t>
            </w:r>
          </w:p>
        </w:tc>
        <w:tc>
          <w:tcPr>
            <w:tcW w:w="1820" w:type="dxa"/>
            <w:tcBorders>
              <w:top w:val="single" w:sz="6" w:space="0" w:color="auto"/>
              <w:left w:val="single" w:sz="6" w:space="0" w:color="auto"/>
              <w:bottom w:val="single" w:sz="6" w:space="0" w:color="auto"/>
              <w:right w:val="single" w:sz="6" w:space="0" w:color="auto"/>
            </w:tcBorders>
          </w:tcPr>
          <w:p w14:paraId="351356FE" w14:textId="77777777" w:rsidR="00294767" w:rsidRDefault="00E01351" w:rsidP="00ED38C0">
            <w:pPr>
              <w:jc w:val="right"/>
            </w:pPr>
            <w:r>
              <w:t>4 350</w:t>
            </w:r>
          </w:p>
        </w:tc>
        <w:tc>
          <w:tcPr>
            <w:tcW w:w="1880" w:type="dxa"/>
            <w:tcBorders>
              <w:top w:val="single" w:sz="6" w:space="0" w:color="auto"/>
              <w:left w:val="single" w:sz="6" w:space="0" w:color="auto"/>
              <w:bottom w:val="single" w:sz="6" w:space="0" w:color="auto"/>
              <w:right w:val="double" w:sz="6" w:space="0" w:color="auto"/>
            </w:tcBorders>
          </w:tcPr>
          <w:p w14:paraId="41FD1934" w14:textId="77777777" w:rsidR="00294767" w:rsidRDefault="00E01351" w:rsidP="00ED38C0">
            <w:pPr>
              <w:jc w:val="right"/>
            </w:pPr>
            <w:r>
              <w:t>4 235</w:t>
            </w:r>
          </w:p>
        </w:tc>
      </w:tr>
      <w:tr w:rsidR="00294767" w14:paraId="1413246B" w14:textId="77777777" w:rsidTr="00ED38C0">
        <w:tc>
          <w:tcPr>
            <w:tcW w:w="4041" w:type="dxa"/>
            <w:tcBorders>
              <w:top w:val="single" w:sz="6" w:space="0" w:color="auto"/>
              <w:left w:val="double" w:sz="6" w:space="0" w:color="auto"/>
              <w:bottom w:val="single" w:sz="6" w:space="0" w:color="auto"/>
              <w:right w:val="single" w:sz="6" w:space="0" w:color="auto"/>
            </w:tcBorders>
          </w:tcPr>
          <w:p w14:paraId="521D2467" w14:textId="77777777" w:rsidR="00294767" w:rsidRDefault="00294767"/>
        </w:tc>
        <w:tc>
          <w:tcPr>
            <w:tcW w:w="1511" w:type="dxa"/>
            <w:tcBorders>
              <w:top w:val="single" w:sz="6" w:space="0" w:color="auto"/>
              <w:left w:val="single" w:sz="6" w:space="0" w:color="auto"/>
              <w:bottom w:val="single" w:sz="6" w:space="0" w:color="auto"/>
              <w:right w:val="single" w:sz="6" w:space="0" w:color="auto"/>
            </w:tcBorders>
          </w:tcPr>
          <w:p w14:paraId="430A53D1" w14:textId="77777777" w:rsidR="00294767" w:rsidRDefault="00294767" w:rsidP="00ED38C0">
            <w:pPr>
              <w:jc w:val="center"/>
            </w:pPr>
          </w:p>
        </w:tc>
        <w:tc>
          <w:tcPr>
            <w:tcW w:w="1820" w:type="dxa"/>
            <w:tcBorders>
              <w:top w:val="single" w:sz="6" w:space="0" w:color="auto"/>
              <w:left w:val="single" w:sz="6" w:space="0" w:color="auto"/>
              <w:bottom w:val="single" w:sz="6" w:space="0" w:color="auto"/>
              <w:right w:val="single" w:sz="6" w:space="0" w:color="auto"/>
            </w:tcBorders>
          </w:tcPr>
          <w:p w14:paraId="7E3E4EF1" w14:textId="77777777" w:rsidR="00294767" w:rsidRDefault="00294767" w:rsidP="00ED38C0">
            <w:pPr>
              <w:jc w:val="right"/>
            </w:pPr>
          </w:p>
        </w:tc>
        <w:tc>
          <w:tcPr>
            <w:tcW w:w="1880" w:type="dxa"/>
            <w:tcBorders>
              <w:top w:val="single" w:sz="6" w:space="0" w:color="auto"/>
              <w:left w:val="single" w:sz="6" w:space="0" w:color="auto"/>
              <w:bottom w:val="single" w:sz="6" w:space="0" w:color="auto"/>
              <w:right w:val="double" w:sz="6" w:space="0" w:color="auto"/>
            </w:tcBorders>
          </w:tcPr>
          <w:p w14:paraId="37676179" w14:textId="77777777" w:rsidR="00294767" w:rsidRDefault="00294767" w:rsidP="00ED38C0">
            <w:pPr>
              <w:jc w:val="right"/>
            </w:pPr>
          </w:p>
        </w:tc>
      </w:tr>
      <w:tr w:rsidR="00294767" w14:paraId="0ADE4351" w14:textId="77777777" w:rsidTr="00ED38C0">
        <w:tc>
          <w:tcPr>
            <w:tcW w:w="4041" w:type="dxa"/>
            <w:tcBorders>
              <w:top w:val="single" w:sz="6" w:space="0" w:color="auto"/>
              <w:left w:val="double" w:sz="6" w:space="0" w:color="auto"/>
              <w:bottom w:val="single" w:sz="6" w:space="0" w:color="auto"/>
              <w:right w:val="single" w:sz="6" w:space="0" w:color="auto"/>
            </w:tcBorders>
          </w:tcPr>
          <w:p w14:paraId="3D68DEF5" w14:textId="77777777" w:rsidR="00294767" w:rsidRDefault="00E01351">
            <w:r>
              <w:t>Парк под управлением на конец периода (общий парк за вычетом сданных в аренду)</w:t>
            </w:r>
          </w:p>
        </w:tc>
        <w:tc>
          <w:tcPr>
            <w:tcW w:w="1511" w:type="dxa"/>
            <w:tcBorders>
              <w:top w:val="single" w:sz="6" w:space="0" w:color="auto"/>
              <w:left w:val="single" w:sz="6" w:space="0" w:color="auto"/>
              <w:bottom w:val="single" w:sz="6" w:space="0" w:color="auto"/>
              <w:right w:val="single" w:sz="6" w:space="0" w:color="auto"/>
            </w:tcBorders>
          </w:tcPr>
          <w:p w14:paraId="7B3E3EC8" w14:textId="77777777" w:rsidR="00294767" w:rsidRDefault="00E01351" w:rsidP="00ED38C0">
            <w:pPr>
              <w:jc w:val="center"/>
            </w:pPr>
            <w:r>
              <w:t>ед</w:t>
            </w:r>
          </w:p>
        </w:tc>
        <w:tc>
          <w:tcPr>
            <w:tcW w:w="1820" w:type="dxa"/>
            <w:tcBorders>
              <w:top w:val="single" w:sz="6" w:space="0" w:color="auto"/>
              <w:left w:val="single" w:sz="6" w:space="0" w:color="auto"/>
              <w:bottom w:val="single" w:sz="6" w:space="0" w:color="auto"/>
              <w:right w:val="single" w:sz="6" w:space="0" w:color="auto"/>
            </w:tcBorders>
          </w:tcPr>
          <w:p w14:paraId="1DFB806F" w14:textId="77777777" w:rsidR="00294767" w:rsidRDefault="00E01351" w:rsidP="00ED38C0">
            <w:pPr>
              <w:jc w:val="right"/>
            </w:pPr>
            <w:r>
              <w:t>47 205</w:t>
            </w:r>
          </w:p>
        </w:tc>
        <w:tc>
          <w:tcPr>
            <w:tcW w:w="1880" w:type="dxa"/>
            <w:tcBorders>
              <w:top w:val="single" w:sz="6" w:space="0" w:color="auto"/>
              <w:left w:val="single" w:sz="6" w:space="0" w:color="auto"/>
              <w:bottom w:val="single" w:sz="6" w:space="0" w:color="auto"/>
              <w:right w:val="double" w:sz="6" w:space="0" w:color="auto"/>
            </w:tcBorders>
          </w:tcPr>
          <w:p w14:paraId="547AECE0" w14:textId="77777777" w:rsidR="00294767" w:rsidRDefault="00E01351" w:rsidP="00ED38C0">
            <w:pPr>
              <w:jc w:val="right"/>
            </w:pPr>
            <w:r>
              <w:t>45 707</w:t>
            </w:r>
          </w:p>
        </w:tc>
      </w:tr>
      <w:tr w:rsidR="00294767" w14:paraId="3E00A8D7" w14:textId="77777777" w:rsidTr="00ED38C0">
        <w:tc>
          <w:tcPr>
            <w:tcW w:w="4041" w:type="dxa"/>
            <w:tcBorders>
              <w:top w:val="single" w:sz="6" w:space="0" w:color="auto"/>
              <w:left w:val="double" w:sz="6" w:space="0" w:color="auto"/>
              <w:bottom w:val="single" w:sz="6" w:space="0" w:color="auto"/>
              <w:right w:val="single" w:sz="6" w:space="0" w:color="auto"/>
            </w:tcBorders>
          </w:tcPr>
          <w:p w14:paraId="0BC92A29" w14:textId="77777777" w:rsidR="00294767" w:rsidRDefault="00E01351">
            <w:r>
              <w:t>Полувагоны</w:t>
            </w:r>
          </w:p>
        </w:tc>
        <w:tc>
          <w:tcPr>
            <w:tcW w:w="1511" w:type="dxa"/>
            <w:tcBorders>
              <w:top w:val="single" w:sz="6" w:space="0" w:color="auto"/>
              <w:left w:val="single" w:sz="6" w:space="0" w:color="auto"/>
              <w:bottom w:val="single" w:sz="6" w:space="0" w:color="auto"/>
              <w:right w:val="single" w:sz="6" w:space="0" w:color="auto"/>
            </w:tcBorders>
          </w:tcPr>
          <w:p w14:paraId="3F630F0E" w14:textId="77777777" w:rsidR="00294767" w:rsidRDefault="00E01351" w:rsidP="00ED38C0">
            <w:pPr>
              <w:jc w:val="center"/>
            </w:pPr>
            <w:r>
              <w:t>ед</w:t>
            </w:r>
          </w:p>
        </w:tc>
        <w:tc>
          <w:tcPr>
            <w:tcW w:w="1820" w:type="dxa"/>
            <w:tcBorders>
              <w:top w:val="single" w:sz="6" w:space="0" w:color="auto"/>
              <w:left w:val="single" w:sz="6" w:space="0" w:color="auto"/>
              <w:bottom w:val="single" w:sz="6" w:space="0" w:color="auto"/>
              <w:right w:val="single" w:sz="6" w:space="0" w:color="auto"/>
            </w:tcBorders>
          </w:tcPr>
          <w:p w14:paraId="564573B6" w14:textId="77777777" w:rsidR="00294767" w:rsidRDefault="00E01351" w:rsidP="00ED38C0">
            <w:pPr>
              <w:jc w:val="right"/>
            </w:pPr>
            <w:r>
              <w:t>47 169</w:t>
            </w:r>
          </w:p>
        </w:tc>
        <w:tc>
          <w:tcPr>
            <w:tcW w:w="1880" w:type="dxa"/>
            <w:tcBorders>
              <w:top w:val="single" w:sz="6" w:space="0" w:color="auto"/>
              <w:left w:val="single" w:sz="6" w:space="0" w:color="auto"/>
              <w:bottom w:val="single" w:sz="6" w:space="0" w:color="auto"/>
              <w:right w:val="double" w:sz="6" w:space="0" w:color="auto"/>
            </w:tcBorders>
          </w:tcPr>
          <w:p w14:paraId="4174EEF9" w14:textId="77777777" w:rsidR="00294767" w:rsidRDefault="00E01351" w:rsidP="00ED38C0">
            <w:pPr>
              <w:jc w:val="right"/>
            </w:pPr>
            <w:r>
              <w:t>45 698</w:t>
            </w:r>
          </w:p>
        </w:tc>
      </w:tr>
      <w:tr w:rsidR="00294767" w14:paraId="36D9F6B3" w14:textId="77777777" w:rsidTr="00ED38C0">
        <w:tc>
          <w:tcPr>
            <w:tcW w:w="4041" w:type="dxa"/>
            <w:tcBorders>
              <w:top w:val="single" w:sz="6" w:space="0" w:color="auto"/>
              <w:left w:val="double" w:sz="6" w:space="0" w:color="auto"/>
              <w:bottom w:val="single" w:sz="6" w:space="0" w:color="auto"/>
              <w:right w:val="single" w:sz="6" w:space="0" w:color="auto"/>
            </w:tcBorders>
          </w:tcPr>
          <w:p w14:paraId="3A5A068A" w14:textId="77777777" w:rsidR="00294767" w:rsidRDefault="00E01351">
            <w:r>
              <w:t>Прочие</w:t>
            </w:r>
          </w:p>
        </w:tc>
        <w:tc>
          <w:tcPr>
            <w:tcW w:w="1511" w:type="dxa"/>
            <w:tcBorders>
              <w:top w:val="single" w:sz="6" w:space="0" w:color="auto"/>
              <w:left w:val="single" w:sz="6" w:space="0" w:color="auto"/>
              <w:bottom w:val="single" w:sz="6" w:space="0" w:color="auto"/>
              <w:right w:val="single" w:sz="6" w:space="0" w:color="auto"/>
            </w:tcBorders>
          </w:tcPr>
          <w:p w14:paraId="2AB9AC15" w14:textId="77777777" w:rsidR="00294767" w:rsidRDefault="00E01351" w:rsidP="00ED38C0">
            <w:pPr>
              <w:jc w:val="center"/>
            </w:pPr>
            <w:r>
              <w:t>ед</w:t>
            </w:r>
          </w:p>
        </w:tc>
        <w:tc>
          <w:tcPr>
            <w:tcW w:w="1820" w:type="dxa"/>
            <w:tcBorders>
              <w:top w:val="single" w:sz="6" w:space="0" w:color="auto"/>
              <w:left w:val="single" w:sz="6" w:space="0" w:color="auto"/>
              <w:bottom w:val="single" w:sz="6" w:space="0" w:color="auto"/>
              <w:right w:val="single" w:sz="6" w:space="0" w:color="auto"/>
            </w:tcBorders>
          </w:tcPr>
          <w:p w14:paraId="300B7434" w14:textId="77777777" w:rsidR="00294767" w:rsidRDefault="00E01351" w:rsidP="00ED38C0">
            <w:pPr>
              <w:jc w:val="right"/>
            </w:pPr>
            <w:r>
              <w:t>36</w:t>
            </w:r>
          </w:p>
        </w:tc>
        <w:tc>
          <w:tcPr>
            <w:tcW w:w="1880" w:type="dxa"/>
            <w:tcBorders>
              <w:top w:val="single" w:sz="6" w:space="0" w:color="auto"/>
              <w:left w:val="single" w:sz="6" w:space="0" w:color="auto"/>
              <w:bottom w:val="single" w:sz="6" w:space="0" w:color="auto"/>
              <w:right w:val="double" w:sz="6" w:space="0" w:color="auto"/>
            </w:tcBorders>
          </w:tcPr>
          <w:p w14:paraId="4275A8CF" w14:textId="77777777" w:rsidR="00294767" w:rsidRDefault="00E01351" w:rsidP="00ED38C0">
            <w:pPr>
              <w:jc w:val="right"/>
            </w:pPr>
            <w:r>
              <w:t>9</w:t>
            </w:r>
          </w:p>
        </w:tc>
      </w:tr>
      <w:tr w:rsidR="00294767" w14:paraId="590AD0B5" w14:textId="77777777" w:rsidTr="00ED38C0">
        <w:tc>
          <w:tcPr>
            <w:tcW w:w="4041" w:type="dxa"/>
            <w:tcBorders>
              <w:top w:val="single" w:sz="6" w:space="0" w:color="auto"/>
              <w:left w:val="double" w:sz="6" w:space="0" w:color="auto"/>
              <w:bottom w:val="single" w:sz="6" w:space="0" w:color="auto"/>
              <w:right w:val="single" w:sz="6" w:space="0" w:color="auto"/>
            </w:tcBorders>
          </w:tcPr>
          <w:p w14:paraId="62DA0146" w14:textId="77777777" w:rsidR="00294767" w:rsidRDefault="00294767"/>
        </w:tc>
        <w:tc>
          <w:tcPr>
            <w:tcW w:w="1511" w:type="dxa"/>
            <w:tcBorders>
              <w:top w:val="single" w:sz="6" w:space="0" w:color="auto"/>
              <w:left w:val="single" w:sz="6" w:space="0" w:color="auto"/>
              <w:bottom w:val="single" w:sz="6" w:space="0" w:color="auto"/>
              <w:right w:val="single" w:sz="6" w:space="0" w:color="auto"/>
            </w:tcBorders>
          </w:tcPr>
          <w:p w14:paraId="606FC8DF" w14:textId="77777777" w:rsidR="00294767" w:rsidRDefault="00294767" w:rsidP="00ED38C0">
            <w:pPr>
              <w:jc w:val="center"/>
            </w:pPr>
          </w:p>
        </w:tc>
        <w:tc>
          <w:tcPr>
            <w:tcW w:w="1820" w:type="dxa"/>
            <w:tcBorders>
              <w:top w:val="single" w:sz="6" w:space="0" w:color="auto"/>
              <w:left w:val="single" w:sz="6" w:space="0" w:color="auto"/>
              <w:bottom w:val="single" w:sz="6" w:space="0" w:color="auto"/>
              <w:right w:val="single" w:sz="6" w:space="0" w:color="auto"/>
            </w:tcBorders>
          </w:tcPr>
          <w:p w14:paraId="3B7A092D" w14:textId="77777777" w:rsidR="00294767" w:rsidRDefault="00294767" w:rsidP="00ED38C0">
            <w:pPr>
              <w:jc w:val="right"/>
            </w:pPr>
          </w:p>
        </w:tc>
        <w:tc>
          <w:tcPr>
            <w:tcW w:w="1880" w:type="dxa"/>
            <w:tcBorders>
              <w:top w:val="single" w:sz="6" w:space="0" w:color="auto"/>
              <w:left w:val="single" w:sz="6" w:space="0" w:color="auto"/>
              <w:bottom w:val="single" w:sz="6" w:space="0" w:color="auto"/>
              <w:right w:val="double" w:sz="6" w:space="0" w:color="auto"/>
            </w:tcBorders>
          </w:tcPr>
          <w:p w14:paraId="53BEC7FB" w14:textId="77777777" w:rsidR="00294767" w:rsidRDefault="00294767" w:rsidP="00ED38C0">
            <w:pPr>
              <w:jc w:val="right"/>
            </w:pPr>
          </w:p>
        </w:tc>
      </w:tr>
      <w:tr w:rsidR="00294767" w14:paraId="072D363A" w14:textId="77777777" w:rsidTr="00ED38C0">
        <w:tc>
          <w:tcPr>
            <w:tcW w:w="4041" w:type="dxa"/>
            <w:tcBorders>
              <w:top w:val="single" w:sz="6" w:space="0" w:color="auto"/>
              <w:left w:val="double" w:sz="6" w:space="0" w:color="auto"/>
              <w:bottom w:val="single" w:sz="6" w:space="0" w:color="auto"/>
              <w:right w:val="single" w:sz="6" w:space="0" w:color="auto"/>
            </w:tcBorders>
          </w:tcPr>
          <w:p w14:paraId="0EF59882" w14:textId="77777777" w:rsidR="00294767" w:rsidRDefault="00E01351">
            <w:r>
              <w:t>Объем перевезенных грузов за период</w:t>
            </w:r>
          </w:p>
        </w:tc>
        <w:tc>
          <w:tcPr>
            <w:tcW w:w="1511" w:type="dxa"/>
            <w:tcBorders>
              <w:top w:val="single" w:sz="6" w:space="0" w:color="auto"/>
              <w:left w:val="single" w:sz="6" w:space="0" w:color="auto"/>
              <w:bottom w:val="single" w:sz="6" w:space="0" w:color="auto"/>
              <w:right w:val="single" w:sz="6" w:space="0" w:color="auto"/>
            </w:tcBorders>
          </w:tcPr>
          <w:p w14:paraId="7EE86427" w14:textId="77777777" w:rsidR="00294767" w:rsidRDefault="00E01351" w:rsidP="00ED38C0">
            <w:pPr>
              <w:jc w:val="center"/>
            </w:pPr>
            <w:r>
              <w:t>млн. тн.</w:t>
            </w:r>
          </w:p>
        </w:tc>
        <w:tc>
          <w:tcPr>
            <w:tcW w:w="1820" w:type="dxa"/>
            <w:tcBorders>
              <w:top w:val="single" w:sz="6" w:space="0" w:color="auto"/>
              <w:left w:val="single" w:sz="6" w:space="0" w:color="auto"/>
              <w:bottom w:val="single" w:sz="6" w:space="0" w:color="auto"/>
              <w:right w:val="single" w:sz="6" w:space="0" w:color="auto"/>
            </w:tcBorders>
          </w:tcPr>
          <w:p w14:paraId="34571D76" w14:textId="77777777" w:rsidR="00294767" w:rsidRDefault="00E01351" w:rsidP="00ED38C0">
            <w:pPr>
              <w:jc w:val="right"/>
            </w:pPr>
            <w:r>
              <w:t>69</w:t>
            </w:r>
          </w:p>
        </w:tc>
        <w:tc>
          <w:tcPr>
            <w:tcW w:w="1880" w:type="dxa"/>
            <w:tcBorders>
              <w:top w:val="single" w:sz="6" w:space="0" w:color="auto"/>
              <w:left w:val="single" w:sz="6" w:space="0" w:color="auto"/>
              <w:bottom w:val="single" w:sz="6" w:space="0" w:color="auto"/>
              <w:right w:val="double" w:sz="6" w:space="0" w:color="auto"/>
            </w:tcBorders>
          </w:tcPr>
          <w:p w14:paraId="0D1203EC" w14:textId="77777777" w:rsidR="00294767" w:rsidRDefault="00E01351" w:rsidP="00ED38C0">
            <w:pPr>
              <w:jc w:val="right"/>
            </w:pPr>
            <w:r>
              <w:t>61</w:t>
            </w:r>
          </w:p>
        </w:tc>
      </w:tr>
      <w:tr w:rsidR="00294767" w14:paraId="1918B681" w14:textId="77777777" w:rsidTr="00ED38C0">
        <w:tc>
          <w:tcPr>
            <w:tcW w:w="4041" w:type="dxa"/>
            <w:tcBorders>
              <w:top w:val="single" w:sz="6" w:space="0" w:color="auto"/>
              <w:left w:val="double" w:sz="6" w:space="0" w:color="auto"/>
              <w:bottom w:val="single" w:sz="6" w:space="0" w:color="auto"/>
              <w:right w:val="single" w:sz="6" w:space="0" w:color="auto"/>
            </w:tcBorders>
          </w:tcPr>
          <w:p w14:paraId="6C85F91A" w14:textId="77777777" w:rsidR="00294767" w:rsidRDefault="00E01351">
            <w:r>
              <w:t>Полувагоны</w:t>
            </w:r>
          </w:p>
        </w:tc>
        <w:tc>
          <w:tcPr>
            <w:tcW w:w="1511" w:type="dxa"/>
            <w:tcBorders>
              <w:top w:val="single" w:sz="6" w:space="0" w:color="auto"/>
              <w:left w:val="single" w:sz="6" w:space="0" w:color="auto"/>
              <w:bottom w:val="single" w:sz="6" w:space="0" w:color="auto"/>
              <w:right w:val="single" w:sz="6" w:space="0" w:color="auto"/>
            </w:tcBorders>
          </w:tcPr>
          <w:p w14:paraId="6AB256D3" w14:textId="77777777" w:rsidR="00294767" w:rsidRDefault="00E01351" w:rsidP="00ED38C0">
            <w:pPr>
              <w:jc w:val="center"/>
            </w:pPr>
            <w:r>
              <w:t>млн. тн.</w:t>
            </w:r>
          </w:p>
        </w:tc>
        <w:tc>
          <w:tcPr>
            <w:tcW w:w="1820" w:type="dxa"/>
            <w:tcBorders>
              <w:top w:val="single" w:sz="6" w:space="0" w:color="auto"/>
              <w:left w:val="single" w:sz="6" w:space="0" w:color="auto"/>
              <w:bottom w:val="single" w:sz="6" w:space="0" w:color="auto"/>
              <w:right w:val="single" w:sz="6" w:space="0" w:color="auto"/>
            </w:tcBorders>
          </w:tcPr>
          <w:p w14:paraId="56B9CA92" w14:textId="77777777" w:rsidR="00294767" w:rsidRDefault="00E01351" w:rsidP="00ED38C0">
            <w:pPr>
              <w:jc w:val="right"/>
            </w:pPr>
            <w:r>
              <w:t>68</w:t>
            </w:r>
          </w:p>
        </w:tc>
        <w:tc>
          <w:tcPr>
            <w:tcW w:w="1880" w:type="dxa"/>
            <w:tcBorders>
              <w:top w:val="single" w:sz="6" w:space="0" w:color="auto"/>
              <w:left w:val="single" w:sz="6" w:space="0" w:color="auto"/>
              <w:bottom w:val="single" w:sz="6" w:space="0" w:color="auto"/>
              <w:right w:val="double" w:sz="6" w:space="0" w:color="auto"/>
            </w:tcBorders>
          </w:tcPr>
          <w:p w14:paraId="309D2ECA" w14:textId="77777777" w:rsidR="00294767" w:rsidRDefault="00E01351" w:rsidP="00ED38C0">
            <w:pPr>
              <w:jc w:val="right"/>
            </w:pPr>
            <w:r>
              <w:t>61</w:t>
            </w:r>
          </w:p>
        </w:tc>
      </w:tr>
      <w:tr w:rsidR="00294767" w14:paraId="47EBCEE0" w14:textId="77777777" w:rsidTr="00ED38C0">
        <w:tc>
          <w:tcPr>
            <w:tcW w:w="4041" w:type="dxa"/>
            <w:tcBorders>
              <w:top w:val="single" w:sz="6" w:space="0" w:color="auto"/>
              <w:left w:val="double" w:sz="6" w:space="0" w:color="auto"/>
              <w:bottom w:val="single" w:sz="6" w:space="0" w:color="auto"/>
              <w:right w:val="single" w:sz="6" w:space="0" w:color="auto"/>
            </w:tcBorders>
          </w:tcPr>
          <w:p w14:paraId="641E3267" w14:textId="77777777" w:rsidR="00294767" w:rsidRDefault="00E01351">
            <w:r>
              <w:t>Прочие</w:t>
            </w:r>
          </w:p>
        </w:tc>
        <w:tc>
          <w:tcPr>
            <w:tcW w:w="1511" w:type="dxa"/>
            <w:tcBorders>
              <w:top w:val="single" w:sz="6" w:space="0" w:color="auto"/>
              <w:left w:val="single" w:sz="6" w:space="0" w:color="auto"/>
              <w:bottom w:val="single" w:sz="6" w:space="0" w:color="auto"/>
              <w:right w:val="single" w:sz="6" w:space="0" w:color="auto"/>
            </w:tcBorders>
          </w:tcPr>
          <w:p w14:paraId="75807474" w14:textId="77777777" w:rsidR="00294767" w:rsidRDefault="00E01351" w:rsidP="00ED38C0">
            <w:pPr>
              <w:jc w:val="center"/>
            </w:pPr>
            <w:r>
              <w:t>млн. тн.</w:t>
            </w:r>
          </w:p>
        </w:tc>
        <w:tc>
          <w:tcPr>
            <w:tcW w:w="1820" w:type="dxa"/>
            <w:tcBorders>
              <w:top w:val="single" w:sz="6" w:space="0" w:color="auto"/>
              <w:left w:val="single" w:sz="6" w:space="0" w:color="auto"/>
              <w:bottom w:val="single" w:sz="6" w:space="0" w:color="auto"/>
              <w:right w:val="single" w:sz="6" w:space="0" w:color="auto"/>
            </w:tcBorders>
          </w:tcPr>
          <w:p w14:paraId="5C007A94" w14:textId="77777777" w:rsidR="00294767" w:rsidRDefault="00E01351" w:rsidP="00ED38C0">
            <w:pPr>
              <w:jc w:val="right"/>
            </w:pPr>
            <w:r>
              <w:t>1</w:t>
            </w:r>
          </w:p>
        </w:tc>
        <w:tc>
          <w:tcPr>
            <w:tcW w:w="1880" w:type="dxa"/>
            <w:tcBorders>
              <w:top w:val="single" w:sz="6" w:space="0" w:color="auto"/>
              <w:left w:val="single" w:sz="6" w:space="0" w:color="auto"/>
              <w:bottom w:val="single" w:sz="6" w:space="0" w:color="auto"/>
              <w:right w:val="double" w:sz="6" w:space="0" w:color="auto"/>
            </w:tcBorders>
          </w:tcPr>
          <w:p w14:paraId="196B6419" w14:textId="77777777" w:rsidR="00294767" w:rsidRDefault="00E01351" w:rsidP="00ED38C0">
            <w:pPr>
              <w:jc w:val="right"/>
            </w:pPr>
            <w:r>
              <w:t>0</w:t>
            </w:r>
          </w:p>
        </w:tc>
      </w:tr>
      <w:tr w:rsidR="00294767" w14:paraId="40FCCE02" w14:textId="77777777" w:rsidTr="00ED38C0">
        <w:tc>
          <w:tcPr>
            <w:tcW w:w="4041" w:type="dxa"/>
            <w:tcBorders>
              <w:top w:val="single" w:sz="6" w:space="0" w:color="auto"/>
              <w:left w:val="double" w:sz="6" w:space="0" w:color="auto"/>
              <w:bottom w:val="single" w:sz="6" w:space="0" w:color="auto"/>
              <w:right w:val="single" w:sz="6" w:space="0" w:color="auto"/>
            </w:tcBorders>
          </w:tcPr>
          <w:p w14:paraId="3C6C3F44" w14:textId="77777777" w:rsidR="00294767" w:rsidRDefault="00294767"/>
        </w:tc>
        <w:tc>
          <w:tcPr>
            <w:tcW w:w="1511" w:type="dxa"/>
            <w:tcBorders>
              <w:top w:val="single" w:sz="6" w:space="0" w:color="auto"/>
              <w:left w:val="single" w:sz="6" w:space="0" w:color="auto"/>
              <w:bottom w:val="single" w:sz="6" w:space="0" w:color="auto"/>
              <w:right w:val="single" w:sz="6" w:space="0" w:color="auto"/>
            </w:tcBorders>
          </w:tcPr>
          <w:p w14:paraId="1FC3F004" w14:textId="77777777" w:rsidR="00294767" w:rsidRDefault="00294767" w:rsidP="00ED38C0">
            <w:pPr>
              <w:jc w:val="center"/>
            </w:pPr>
          </w:p>
        </w:tc>
        <w:tc>
          <w:tcPr>
            <w:tcW w:w="1820" w:type="dxa"/>
            <w:tcBorders>
              <w:top w:val="single" w:sz="6" w:space="0" w:color="auto"/>
              <w:left w:val="single" w:sz="6" w:space="0" w:color="auto"/>
              <w:bottom w:val="single" w:sz="6" w:space="0" w:color="auto"/>
              <w:right w:val="single" w:sz="6" w:space="0" w:color="auto"/>
            </w:tcBorders>
          </w:tcPr>
          <w:p w14:paraId="3ADB9AE7" w14:textId="77777777" w:rsidR="00294767" w:rsidRDefault="00294767" w:rsidP="00ED38C0">
            <w:pPr>
              <w:jc w:val="right"/>
            </w:pPr>
          </w:p>
        </w:tc>
        <w:tc>
          <w:tcPr>
            <w:tcW w:w="1880" w:type="dxa"/>
            <w:tcBorders>
              <w:top w:val="single" w:sz="6" w:space="0" w:color="auto"/>
              <w:left w:val="single" w:sz="6" w:space="0" w:color="auto"/>
              <w:bottom w:val="single" w:sz="6" w:space="0" w:color="auto"/>
              <w:right w:val="double" w:sz="6" w:space="0" w:color="auto"/>
            </w:tcBorders>
          </w:tcPr>
          <w:p w14:paraId="15D25468" w14:textId="77777777" w:rsidR="00294767" w:rsidRDefault="00294767" w:rsidP="00ED38C0">
            <w:pPr>
              <w:jc w:val="right"/>
            </w:pPr>
          </w:p>
        </w:tc>
      </w:tr>
      <w:tr w:rsidR="00294767" w14:paraId="46FD102C" w14:textId="77777777" w:rsidTr="00ED38C0">
        <w:tc>
          <w:tcPr>
            <w:tcW w:w="4041" w:type="dxa"/>
            <w:tcBorders>
              <w:top w:val="single" w:sz="6" w:space="0" w:color="auto"/>
              <w:left w:val="double" w:sz="6" w:space="0" w:color="auto"/>
              <w:bottom w:val="single" w:sz="6" w:space="0" w:color="auto"/>
              <w:right w:val="single" w:sz="6" w:space="0" w:color="auto"/>
            </w:tcBorders>
          </w:tcPr>
          <w:p w14:paraId="3D77ED5B" w14:textId="77777777" w:rsidR="00294767" w:rsidRDefault="00E01351">
            <w:r>
              <w:t>Грузооборот за период</w:t>
            </w:r>
          </w:p>
        </w:tc>
        <w:tc>
          <w:tcPr>
            <w:tcW w:w="1511" w:type="dxa"/>
            <w:tcBorders>
              <w:top w:val="single" w:sz="6" w:space="0" w:color="auto"/>
              <w:left w:val="single" w:sz="6" w:space="0" w:color="auto"/>
              <w:bottom w:val="single" w:sz="6" w:space="0" w:color="auto"/>
              <w:right w:val="single" w:sz="6" w:space="0" w:color="auto"/>
            </w:tcBorders>
          </w:tcPr>
          <w:p w14:paraId="3CD9929A" w14:textId="77777777" w:rsidR="00294767" w:rsidRDefault="00E01351" w:rsidP="00ED38C0">
            <w:pPr>
              <w:jc w:val="center"/>
            </w:pPr>
            <w:r>
              <w:t>млрд. тн.-км.</w:t>
            </w:r>
          </w:p>
        </w:tc>
        <w:tc>
          <w:tcPr>
            <w:tcW w:w="1820" w:type="dxa"/>
            <w:tcBorders>
              <w:top w:val="single" w:sz="6" w:space="0" w:color="auto"/>
              <w:left w:val="single" w:sz="6" w:space="0" w:color="auto"/>
              <w:bottom w:val="single" w:sz="6" w:space="0" w:color="auto"/>
              <w:right w:val="single" w:sz="6" w:space="0" w:color="auto"/>
            </w:tcBorders>
          </w:tcPr>
          <w:p w14:paraId="01D9EFEC" w14:textId="77777777" w:rsidR="00294767" w:rsidRDefault="00E01351" w:rsidP="00ED38C0">
            <w:pPr>
              <w:jc w:val="right"/>
            </w:pPr>
            <w:r>
              <w:t>135</w:t>
            </w:r>
          </w:p>
        </w:tc>
        <w:tc>
          <w:tcPr>
            <w:tcW w:w="1880" w:type="dxa"/>
            <w:tcBorders>
              <w:top w:val="single" w:sz="6" w:space="0" w:color="auto"/>
              <w:left w:val="single" w:sz="6" w:space="0" w:color="auto"/>
              <w:bottom w:val="single" w:sz="6" w:space="0" w:color="auto"/>
              <w:right w:val="double" w:sz="6" w:space="0" w:color="auto"/>
            </w:tcBorders>
          </w:tcPr>
          <w:p w14:paraId="20D5D946" w14:textId="77777777" w:rsidR="00294767" w:rsidRDefault="00E01351" w:rsidP="00ED38C0">
            <w:pPr>
              <w:jc w:val="right"/>
            </w:pPr>
            <w:r>
              <w:t>120</w:t>
            </w:r>
          </w:p>
        </w:tc>
      </w:tr>
      <w:tr w:rsidR="00294767" w14:paraId="71834B23" w14:textId="77777777" w:rsidTr="00ED38C0">
        <w:tc>
          <w:tcPr>
            <w:tcW w:w="4041" w:type="dxa"/>
            <w:tcBorders>
              <w:top w:val="single" w:sz="6" w:space="0" w:color="auto"/>
              <w:left w:val="double" w:sz="6" w:space="0" w:color="auto"/>
              <w:bottom w:val="single" w:sz="6" w:space="0" w:color="auto"/>
              <w:right w:val="single" w:sz="6" w:space="0" w:color="auto"/>
            </w:tcBorders>
          </w:tcPr>
          <w:p w14:paraId="75624C3C" w14:textId="77777777" w:rsidR="00294767" w:rsidRDefault="00E01351">
            <w:r>
              <w:t>Полувагоны</w:t>
            </w:r>
          </w:p>
        </w:tc>
        <w:tc>
          <w:tcPr>
            <w:tcW w:w="1511" w:type="dxa"/>
            <w:tcBorders>
              <w:top w:val="single" w:sz="6" w:space="0" w:color="auto"/>
              <w:left w:val="single" w:sz="6" w:space="0" w:color="auto"/>
              <w:bottom w:val="single" w:sz="6" w:space="0" w:color="auto"/>
              <w:right w:val="single" w:sz="6" w:space="0" w:color="auto"/>
            </w:tcBorders>
          </w:tcPr>
          <w:p w14:paraId="57139B59" w14:textId="77777777" w:rsidR="00294767" w:rsidRDefault="00E01351" w:rsidP="00ED38C0">
            <w:pPr>
              <w:jc w:val="center"/>
            </w:pPr>
            <w:r>
              <w:t>млрд. тн.-км.</w:t>
            </w:r>
          </w:p>
        </w:tc>
        <w:tc>
          <w:tcPr>
            <w:tcW w:w="1820" w:type="dxa"/>
            <w:tcBorders>
              <w:top w:val="single" w:sz="6" w:space="0" w:color="auto"/>
              <w:left w:val="single" w:sz="6" w:space="0" w:color="auto"/>
              <w:bottom w:val="single" w:sz="6" w:space="0" w:color="auto"/>
              <w:right w:val="single" w:sz="6" w:space="0" w:color="auto"/>
            </w:tcBorders>
          </w:tcPr>
          <w:p w14:paraId="263B816C" w14:textId="77777777" w:rsidR="00294767" w:rsidRDefault="00E01351" w:rsidP="00ED38C0">
            <w:pPr>
              <w:jc w:val="right"/>
            </w:pPr>
            <w:r>
              <w:t>135</w:t>
            </w:r>
          </w:p>
        </w:tc>
        <w:tc>
          <w:tcPr>
            <w:tcW w:w="1880" w:type="dxa"/>
            <w:tcBorders>
              <w:top w:val="single" w:sz="6" w:space="0" w:color="auto"/>
              <w:left w:val="single" w:sz="6" w:space="0" w:color="auto"/>
              <w:bottom w:val="single" w:sz="6" w:space="0" w:color="auto"/>
              <w:right w:val="double" w:sz="6" w:space="0" w:color="auto"/>
            </w:tcBorders>
          </w:tcPr>
          <w:p w14:paraId="53E0C8C7" w14:textId="77777777" w:rsidR="00294767" w:rsidRDefault="00E01351" w:rsidP="00ED38C0">
            <w:pPr>
              <w:jc w:val="right"/>
            </w:pPr>
            <w:r>
              <w:t>120</w:t>
            </w:r>
          </w:p>
        </w:tc>
      </w:tr>
      <w:tr w:rsidR="00294767" w14:paraId="4D7F141D" w14:textId="77777777" w:rsidTr="00ED38C0">
        <w:tc>
          <w:tcPr>
            <w:tcW w:w="4041" w:type="dxa"/>
            <w:tcBorders>
              <w:top w:val="single" w:sz="6" w:space="0" w:color="auto"/>
              <w:left w:val="double" w:sz="6" w:space="0" w:color="auto"/>
              <w:bottom w:val="double" w:sz="6" w:space="0" w:color="auto"/>
              <w:right w:val="single" w:sz="6" w:space="0" w:color="auto"/>
            </w:tcBorders>
          </w:tcPr>
          <w:p w14:paraId="54E67D8B" w14:textId="77777777" w:rsidR="00294767" w:rsidRDefault="00E01351">
            <w:r>
              <w:t>Прочие</w:t>
            </w:r>
          </w:p>
        </w:tc>
        <w:tc>
          <w:tcPr>
            <w:tcW w:w="1511" w:type="dxa"/>
            <w:tcBorders>
              <w:top w:val="single" w:sz="6" w:space="0" w:color="auto"/>
              <w:left w:val="single" w:sz="6" w:space="0" w:color="auto"/>
              <w:bottom w:val="double" w:sz="6" w:space="0" w:color="auto"/>
              <w:right w:val="single" w:sz="6" w:space="0" w:color="auto"/>
            </w:tcBorders>
          </w:tcPr>
          <w:p w14:paraId="296B12D7" w14:textId="77777777" w:rsidR="00294767" w:rsidRDefault="00E01351" w:rsidP="00ED38C0">
            <w:pPr>
              <w:jc w:val="center"/>
            </w:pPr>
            <w:r>
              <w:t>млрд. тн.-км.</w:t>
            </w:r>
          </w:p>
        </w:tc>
        <w:tc>
          <w:tcPr>
            <w:tcW w:w="1820" w:type="dxa"/>
            <w:tcBorders>
              <w:top w:val="single" w:sz="6" w:space="0" w:color="auto"/>
              <w:left w:val="single" w:sz="6" w:space="0" w:color="auto"/>
              <w:bottom w:val="double" w:sz="6" w:space="0" w:color="auto"/>
              <w:right w:val="single" w:sz="6" w:space="0" w:color="auto"/>
            </w:tcBorders>
          </w:tcPr>
          <w:p w14:paraId="0BBE97AD" w14:textId="77777777" w:rsidR="00294767" w:rsidRDefault="00E01351" w:rsidP="00ED38C0">
            <w:pPr>
              <w:jc w:val="right"/>
            </w:pPr>
            <w:r>
              <w:t>0</w:t>
            </w:r>
          </w:p>
        </w:tc>
        <w:tc>
          <w:tcPr>
            <w:tcW w:w="1880" w:type="dxa"/>
            <w:tcBorders>
              <w:top w:val="single" w:sz="6" w:space="0" w:color="auto"/>
              <w:left w:val="single" w:sz="6" w:space="0" w:color="auto"/>
              <w:bottom w:val="double" w:sz="6" w:space="0" w:color="auto"/>
              <w:right w:val="double" w:sz="6" w:space="0" w:color="auto"/>
            </w:tcBorders>
          </w:tcPr>
          <w:p w14:paraId="29CD8BF6" w14:textId="77777777" w:rsidR="00294767" w:rsidRDefault="00E01351" w:rsidP="00ED38C0">
            <w:pPr>
              <w:jc w:val="right"/>
            </w:pPr>
            <w:r>
              <w:t>0</w:t>
            </w:r>
          </w:p>
        </w:tc>
      </w:tr>
    </w:tbl>
    <w:p w14:paraId="1520093D" w14:textId="0E31E07A" w:rsidR="00294767" w:rsidRDefault="00E01351" w:rsidP="00405F9C">
      <w:pPr>
        <w:ind w:left="200"/>
        <w:jc w:val="both"/>
        <w:rPr>
          <w:rStyle w:val="Subst"/>
        </w:rPr>
      </w:pPr>
      <w:r>
        <w:rPr>
          <w:rStyle w:val="Subst"/>
        </w:rPr>
        <w:t xml:space="preserve">       С конца февраля 2022 года на российскую экономику и условия деятельности Компании негативно повлияли изменения в геополитической ситуации, вызванные событиями в Украине, и связанные с этим введенные международные санкции против ряда российских учреждений, компаний, банков и частных лиц. </w:t>
      </w:r>
      <w:r>
        <w:rPr>
          <w:rStyle w:val="Subst"/>
        </w:rPr>
        <w:br/>
        <w:t xml:space="preserve">       Объем перевозок и грузооборот за отчетный период по сравнению с итогами 2021 года снизились на 12% и 11% соответственно. На падение погрузки оказало влияние увеличение оборота вагонов, связанное с изменениями в логистике перевозок продукции конечных Клиентов НПК и снижение уровня фактического операторского парка Компании.</w:t>
      </w:r>
      <w:r>
        <w:rPr>
          <w:rStyle w:val="Subst"/>
        </w:rPr>
        <w:br/>
        <w:t xml:space="preserve">       При этом, финансовые показатели Компании за 2022 год в сравнении с аналогичным периодом 2021 года показали стабильный рост. С учетом положительной динамики ставок на рынке организации перевозок грузов ЖД транспортом</w:t>
      </w:r>
      <w:r w:rsidR="0052532B">
        <w:rPr>
          <w:rStyle w:val="Subst"/>
        </w:rPr>
        <w:t xml:space="preserve"> </w:t>
      </w:r>
      <w:r w:rsidR="0052532B" w:rsidRPr="002B37CB">
        <w:rPr>
          <w:rStyle w:val="Subst"/>
        </w:rPr>
        <w:t>[</w:t>
      </w:r>
      <w:r w:rsidR="0052532B">
        <w:rPr>
          <w:rStyle w:val="Subst"/>
        </w:rPr>
        <w:t>и эффективного управления расходами</w:t>
      </w:r>
      <w:r w:rsidR="0052532B" w:rsidRPr="002B37CB">
        <w:rPr>
          <w:rStyle w:val="Subst"/>
        </w:rPr>
        <w:t>]</w:t>
      </w:r>
      <w:r>
        <w:rPr>
          <w:rStyle w:val="Subst"/>
        </w:rPr>
        <w:t xml:space="preserve"> чистая прибыль АО "НПК" в отчетном периоде </w:t>
      </w:r>
      <w:r w:rsidR="0052532B">
        <w:rPr>
          <w:rStyle w:val="Subst"/>
        </w:rPr>
        <w:t>выросла</w:t>
      </w:r>
      <w:r w:rsidR="00131205">
        <w:rPr>
          <w:rStyle w:val="Subst"/>
        </w:rPr>
        <w:t xml:space="preserve"> </w:t>
      </w:r>
      <w:r w:rsidR="0052532B">
        <w:rPr>
          <w:rStyle w:val="Subst"/>
        </w:rPr>
        <w:t>до 18 920 620 тыс. рублей</w:t>
      </w:r>
      <w:r>
        <w:rPr>
          <w:rStyle w:val="Subst"/>
        </w:rPr>
        <w:t>.</w:t>
      </w:r>
    </w:p>
    <w:p w14:paraId="26AA6FC5" w14:textId="738E934F" w:rsidR="00315503" w:rsidRPr="00315503" w:rsidRDefault="00315503" w:rsidP="00315503">
      <w:pPr>
        <w:ind w:left="200"/>
        <w:jc w:val="both"/>
        <w:rPr>
          <w:b/>
          <w:bCs/>
          <w:i/>
          <w:iCs/>
        </w:rPr>
      </w:pPr>
      <w:r w:rsidRPr="00BA672A">
        <w:rPr>
          <w:rStyle w:val="Subst"/>
        </w:rPr>
        <w:t>*</w:t>
      </w:r>
      <w:r w:rsidRPr="00BA672A">
        <w:rPr>
          <w:b/>
          <w:bCs/>
          <w:i/>
          <w:iCs/>
        </w:rPr>
        <w:t xml:space="preserve"> По состоянию</w:t>
      </w:r>
      <w:r w:rsidRPr="00315503">
        <w:rPr>
          <w:b/>
          <w:bCs/>
          <w:i/>
          <w:iCs/>
        </w:rPr>
        <w:t xml:space="preserve"> на 31.12.2022 года на территории Украины остаются заблокированными собственные и арендованные активы Компании в количестве около 3,2 тысячи ед. подвижного состава (в основном полувагоны). Данный парк не учитывается в парке на конец периода.</w:t>
      </w:r>
    </w:p>
    <w:p w14:paraId="665CD6DB" w14:textId="6B7ACCEC" w:rsidR="00315503" w:rsidRDefault="00315503" w:rsidP="00405F9C">
      <w:pPr>
        <w:ind w:left="200"/>
        <w:jc w:val="both"/>
      </w:pPr>
    </w:p>
    <w:p w14:paraId="090F2661" w14:textId="77777777" w:rsidR="00294767" w:rsidRDefault="00E01351">
      <w:pPr>
        <w:pStyle w:val="2"/>
      </w:pPr>
      <w:bookmarkStart w:id="7" w:name="_Toc133918758"/>
      <w:r>
        <w:t>1.4. Основные финансовые показатели эмитента</w:t>
      </w:r>
      <w:bookmarkEnd w:id="7"/>
    </w:p>
    <w:p w14:paraId="25401A14" w14:textId="77777777" w:rsidR="00294767" w:rsidRDefault="00E01351">
      <w:pPr>
        <w:pStyle w:val="SubHeading"/>
        <w:ind w:left="200"/>
      </w:pPr>
      <w:r>
        <w:t>Финансовые показатели</w:t>
      </w:r>
    </w:p>
    <w:p w14:paraId="273525A4" w14:textId="77777777" w:rsidR="00294767" w:rsidRDefault="00294767">
      <w:pPr>
        <w:pStyle w:val="ThinDelim"/>
      </w:pPr>
    </w:p>
    <w:tbl>
      <w:tblPr>
        <w:tblW w:w="9252" w:type="dxa"/>
        <w:tblLayout w:type="fixed"/>
        <w:tblCellMar>
          <w:left w:w="72" w:type="dxa"/>
          <w:right w:w="72" w:type="dxa"/>
        </w:tblCellMar>
        <w:tblLook w:val="0000" w:firstRow="0" w:lastRow="0" w:firstColumn="0" w:lastColumn="0" w:noHBand="0" w:noVBand="0"/>
      </w:tblPr>
      <w:tblGrid>
        <w:gridCol w:w="692"/>
        <w:gridCol w:w="4483"/>
        <w:gridCol w:w="2127"/>
        <w:gridCol w:w="1950"/>
      </w:tblGrid>
      <w:tr w:rsidR="00294767" w14:paraId="4C79A3DB" w14:textId="77777777" w:rsidTr="0029292E">
        <w:tc>
          <w:tcPr>
            <w:tcW w:w="692" w:type="dxa"/>
            <w:tcBorders>
              <w:top w:val="double" w:sz="6" w:space="0" w:color="auto"/>
              <w:left w:val="double" w:sz="6" w:space="0" w:color="auto"/>
              <w:bottom w:val="single" w:sz="6" w:space="0" w:color="auto"/>
              <w:right w:val="single" w:sz="6" w:space="0" w:color="auto"/>
            </w:tcBorders>
          </w:tcPr>
          <w:p w14:paraId="3CF1DD25" w14:textId="77777777" w:rsidR="00294767" w:rsidRDefault="00E01351">
            <w:pPr>
              <w:jc w:val="center"/>
            </w:pPr>
            <w:r>
              <w:t>N п/п</w:t>
            </w:r>
          </w:p>
        </w:tc>
        <w:tc>
          <w:tcPr>
            <w:tcW w:w="4483" w:type="dxa"/>
            <w:tcBorders>
              <w:top w:val="double" w:sz="6" w:space="0" w:color="auto"/>
              <w:left w:val="single" w:sz="6" w:space="0" w:color="auto"/>
              <w:bottom w:val="single" w:sz="6" w:space="0" w:color="auto"/>
              <w:right w:val="single" w:sz="6" w:space="0" w:color="auto"/>
            </w:tcBorders>
          </w:tcPr>
          <w:p w14:paraId="25BDA2BE" w14:textId="77777777" w:rsidR="00294767" w:rsidRDefault="00E01351">
            <w:pPr>
              <w:jc w:val="center"/>
            </w:pPr>
            <w:r>
              <w:t>Наименование показателя</w:t>
            </w:r>
          </w:p>
        </w:tc>
        <w:tc>
          <w:tcPr>
            <w:tcW w:w="2127" w:type="dxa"/>
            <w:tcBorders>
              <w:top w:val="double" w:sz="6" w:space="0" w:color="auto"/>
              <w:left w:val="single" w:sz="6" w:space="0" w:color="auto"/>
              <w:bottom w:val="single" w:sz="6" w:space="0" w:color="auto"/>
              <w:right w:val="single" w:sz="6" w:space="0" w:color="auto"/>
            </w:tcBorders>
          </w:tcPr>
          <w:p w14:paraId="771925BE" w14:textId="77777777" w:rsidR="00294767" w:rsidRDefault="00E01351">
            <w:pPr>
              <w:jc w:val="center"/>
            </w:pPr>
            <w:r>
              <w:t>2021, 12 мес.</w:t>
            </w:r>
          </w:p>
        </w:tc>
        <w:tc>
          <w:tcPr>
            <w:tcW w:w="1950" w:type="dxa"/>
            <w:tcBorders>
              <w:top w:val="double" w:sz="6" w:space="0" w:color="auto"/>
              <w:left w:val="single" w:sz="6" w:space="0" w:color="auto"/>
              <w:bottom w:val="single" w:sz="6" w:space="0" w:color="auto"/>
              <w:right w:val="double" w:sz="6" w:space="0" w:color="auto"/>
            </w:tcBorders>
          </w:tcPr>
          <w:p w14:paraId="1AC9D83F" w14:textId="77777777" w:rsidR="00294767" w:rsidRDefault="00E01351">
            <w:pPr>
              <w:jc w:val="center"/>
            </w:pPr>
            <w:r>
              <w:t>2022, 12 мес.</w:t>
            </w:r>
          </w:p>
        </w:tc>
      </w:tr>
      <w:tr w:rsidR="00294767" w14:paraId="13348FA4" w14:textId="77777777" w:rsidTr="0029292E">
        <w:tc>
          <w:tcPr>
            <w:tcW w:w="692" w:type="dxa"/>
            <w:tcBorders>
              <w:top w:val="single" w:sz="6" w:space="0" w:color="auto"/>
              <w:left w:val="double" w:sz="6" w:space="0" w:color="auto"/>
              <w:bottom w:val="single" w:sz="6" w:space="0" w:color="auto"/>
              <w:right w:val="single" w:sz="6" w:space="0" w:color="auto"/>
            </w:tcBorders>
          </w:tcPr>
          <w:p w14:paraId="718FE086" w14:textId="77777777" w:rsidR="00294767" w:rsidRDefault="00E01351">
            <w:r>
              <w:t>1</w:t>
            </w:r>
          </w:p>
        </w:tc>
        <w:tc>
          <w:tcPr>
            <w:tcW w:w="4483" w:type="dxa"/>
            <w:tcBorders>
              <w:top w:val="single" w:sz="6" w:space="0" w:color="auto"/>
              <w:left w:val="single" w:sz="6" w:space="0" w:color="auto"/>
              <w:bottom w:val="single" w:sz="6" w:space="0" w:color="auto"/>
              <w:right w:val="single" w:sz="6" w:space="0" w:color="auto"/>
            </w:tcBorders>
          </w:tcPr>
          <w:p w14:paraId="37A557F6" w14:textId="77777777" w:rsidR="00294767" w:rsidRDefault="00E01351">
            <w:r>
              <w:t>Выручка, тыс. руб.</w:t>
            </w:r>
          </w:p>
        </w:tc>
        <w:tc>
          <w:tcPr>
            <w:tcW w:w="2127" w:type="dxa"/>
            <w:tcBorders>
              <w:top w:val="single" w:sz="6" w:space="0" w:color="auto"/>
              <w:left w:val="single" w:sz="6" w:space="0" w:color="auto"/>
              <w:bottom w:val="single" w:sz="6" w:space="0" w:color="auto"/>
              <w:right w:val="single" w:sz="6" w:space="0" w:color="auto"/>
            </w:tcBorders>
          </w:tcPr>
          <w:p w14:paraId="5D2C45C4" w14:textId="77777777" w:rsidR="00294767" w:rsidRDefault="00E01351" w:rsidP="00ED38C0">
            <w:pPr>
              <w:jc w:val="right"/>
            </w:pPr>
            <w:r>
              <w:t>43 079 850</w:t>
            </w:r>
          </w:p>
        </w:tc>
        <w:tc>
          <w:tcPr>
            <w:tcW w:w="1950" w:type="dxa"/>
            <w:tcBorders>
              <w:top w:val="single" w:sz="6" w:space="0" w:color="auto"/>
              <w:left w:val="single" w:sz="6" w:space="0" w:color="auto"/>
              <w:bottom w:val="single" w:sz="6" w:space="0" w:color="auto"/>
              <w:right w:val="double" w:sz="6" w:space="0" w:color="auto"/>
            </w:tcBorders>
          </w:tcPr>
          <w:p w14:paraId="067D6266" w14:textId="77777777" w:rsidR="00294767" w:rsidRDefault="00E01351" w:rsidP="00ED38C0">
            <w:pPr>
              <w:jc w:val="right"/>
            </w:pPr>
            <w:r>
              <w:t>61 275 118</w:t>
            </w:r>
          </w:p>
        </w:tc>
      </w:tr>
      <w:tr w:rsidR="00294767" w14:paraId="17472585" w14:textId="77777777" w:rsidTr="0029292E">
        <w:tc>
          <w:tcPr>
            <w:tcW w:w="692" w:type="dxa"/>
            <w:tcBorders>
              <w:top w:val="single" w:sz="6" w:space="0" w:color="auto"/>
              <w:left w:val="double" w:sz="6" w:space="0" w:color="auto"/>
              <w:bottom w:val="single" w:sz="6" w:space="0" w:color="auto"/>
              <w:right w:val="single" w:sz="6" w:space="0" w:color="auto"/>
            </w:tcBorders>
          </w:tcPr>
          <w:p w14:paraId="62773CF9" w14:textId="77777777" w:rsidR="00294767" w:rsidRDefault="00E01351">
            <w:r>
              <w:t>2</w:t>
            </w:r>
          </w:p>
        </w:tc>
        <w:tc>
          <w:tcPr>
            <w:tcW w:w="4483" w:type="dxa"/>
            <w:tcBorders>
              <w:top w:val="single" w:sz="6" w:space="0" w:color="auto"/>
              <w:left w:val="single" w:sz="6" w:space="0" w:color="auto"/>
              <w:bottom w:val="single" w:sz="6" w:space="0" w:color="auto"/>
              <w:right w:val="single" w:sz="6" w:space="0" w:color="auto"/>
            </w:tcBorders>
          </w:tcPr>
          <w:p w14:paraId="136B17B8" w14:textId="77777777" w:rsidR="00294767" w:rsidRDefault="00E01351">
            <w:r>
              <w:t>Прибыль до вычета расходов по выплате процентов, налогов, износа основных средств и амортизации нематериальных активов (EBITDA), тыс. руб.</w:t>
            </w:r>
          </w:p>
        </w:tc>
        <w:tc>
          <w:tcPr>
            <w:tcW w:w="2127" w:type="dxa"/>
            <w:tcBorders>
              <w:top w:val="single" w:sz="6" w:space="0" w:color="auto"/>
              <w:left w:val="single" w:sz="6" w:space="0" w:color="auto"/>
              <w:bottom w:val="single" w:sz="6" w:space="0" w:color="auto"/>
              <w:right w:val="single" w:sz="6" w:space="0" w:color="auto"/>
            </w:tcBorders>
          </w:tcPr>
          <w:p w14:paraId="0E79999B" w14:textId="77777777" w:rsidR="00294767" w:rsidRDefault="00E01351" w:rsidP="00ED38C0">
            <w:pPr>
              <w:jc w:val="right"/>
            </w:pPr>
            <w:r>
              <w:t>17 283 842</w:t>
            </w:r>
          </w:p>
        </w:tc>
        <w:tc>
          <w:tcPr>
            <w:tcW w:w="1950" w:type="dxa"/>
            <w:tcBorders>
              <w:top w:val="single" w:sz="6" w:space="0" w:color="auto"/>
              <w:left w:val="single" w:sz="6" w:space="0" w:color="auto"/>
              <w:bottom w:val="single" w:sz="6" w:space="0" w:color="auto"/>
              <w:right w:val="double" w:sz="6" w:space="0" w:color="auto"/>
            </w:tcBorders>
          </w:tcPr>
          <w:p w14:paraId="6A0685C7" w14:textId="77777777" w:rsidR="00294767" w:rsidRDefault="00E01351" w:rsidP="00ED38C0">
            <w:pPr>
              <w:jc w:val="right"/>
            </w:pPr>
            <w:r>
              <w:t>34 208 980</w:t>
            </w:r>
          </w:p>
        </w:tc>
      </w:tr>
      <w:tr w:rsidR="00294767" w14:paraId="2A642434" w14:textId="77777777" w:rsidTr="0029292E">
        <w:tc>
          <w:tcPr>
            <w:tcW w:w="692" w:type="dxa"/>
            <w:tcBorders>
              <w:top w:val="single" w:sz="6" w:space="0" w:color="auto"/>
              <w:left w:val="double" w:sz="6" w:space="0" w:color="auto"/>
              <w:bottom w:val="single" w:sz="6" w:space="0" w:color="auto"/>
              <w:right w:val="single" w:sz="6" w:space="0" w:color="auto"/>
            </w:tcBorders>
          </w:tcPr>
          <w:p w14:paraId="1F772D52" w14:textId="77777777" w:rsidR="00294767" w:rsidRDefault="00E01351">
            <w:r>
              <w:t>3</w:t>
            </w:r>
          </w:p>
        </w:tc>
        <w:tc>
          <w:tcPr>
            <w:tcW w:w="4483" w:type="dxa"/>
            <w:tcBorders>
              <w:top w:val="single" w:sz="6" w:space="0" w:color="auto"/>
              <w:left w:val="single" w:sz="6" w:space="0" w:color="auto"/>
              <w:bottom w:val="single" w:sz="6" w:space="0" w:color="auto"/>
              <w:right w:val="single" w:sz="6" w:space="0" w:color="auto"/>
            </w:tcBorders>
          </w:tcPr>
          <w:p w14:paraId="3A1259A3" w14:textId="77777777" w:rsidR="00294767" w:rsidRDefault="00E01351">
            <w:r>
              <w:t>Рентабельность по EBITDA (EBITDA margin), %</w:t>
            </w:r>
          </w:p>
        </w:tc>
        <w:tc>
          <w:tcPr>
            <w:tcW w:w="2127" w:type="dxa"/>
            <w:tcBorders>
              <w:top w:val="single" w:sz="6" w:space="0" w:color="auto"/>
              <w:left w:val="single" w:sz="6" w:space="0" w:color="auto"/>
              <w:bottom w:val="single" w:sz="6" w:space="0" w:color="auto"/>
              <w:right w:val="single" w:sz="6" w:space="0" w:color="auto"/>
            </w:tcBorders>
          </w:tcPr>
          <w:p w14:paraId="6D059A8E" w14:textId="77777777" w:rsidR="00294767" w:rsidRDefault="00E01351" w:rsidP="00ED38C0">
            <w:pPr>
              <w:jc w:val="right"/>
            </w:pPr>
            <w:r>
              <w:t>40</w:t>
            </w:r>
          </w:p>
        </w:tc>
        <w:tc>
          <w:tcPr>
            <w:tcW w:w="1950" w:type="dxa"/>
            <w:tcBorders>
              <w:top w:val="single" w:sz="6" w:space="0" w:color="auto"/>
              <w:left w:val="single" w:sz="6" w:space="0" w:color="auto"/>
              <w:bottom w:val="single" w:sz="6" w:space="0" w:color="auto"/>
              <w:right w:val="double" w:sz="6" w:space="0" w:color="auto"/>
            </w:tcBorders>
          </w:tcPr>
          <w:p w14:paraId="0B071959" w14:textId="77777777" w:rsidR="00294767" w:rsidRDefault="00E01351" w:rsidP="00ED38C0">
            <w:pPr>
              <w:jc w:val="right"/>
            </w:pPr>
            <w:r>
              <w:t>56</w:t>
            </w:r>
          </w:p>
        </w:tc>
      </w:tr>
      <w:tr w:rsidR="00294767" w14:paraId="7F214FE7" w14:textId="77777777" w:rsidTr="0029292E">
        <w:tc>
          <w:tcPr>
            <w:tcW w:w="692" w:type="dxa"/>
            <w:tcBorders>
              <w:top w:val="single" w:sz="6" w:space="0" w:color="auto"/>
              <w:left w:val="double" w:sz="6" w:space="0" w:color="auto"/>
              <w:bottom w:val="single" w:sz="6" w:space="0" w:color="auto"/>
              <w:right w:val="single" w:sz="6" w:space="0" w:color="auto"/>
            </w:tcBorders>
          </w:tcPr>
          <w:p w14:paraId="5ECDB38F" w14:textId="77777777" w:rsidR="00294767" w:rsidRDefault="00294767"/>
        </w:tc>
        <w:tc>
          <w:tcPr>
            <w:tcW w:w="4483" w:type="dxa"/>
            <w:tcBorders>
              <w:top w:val="single" w:sz="6" w:space="0" w:color="auto"/>
              <w:left w:val="single" w:sz="6" w:space="0" w:color="auto"/>
              <w:bottom w:val="single" w:sz="6" w:space="0" w:color="auto"/>
              <w:right w:val="single" w:sz="6" w:space="0" w:color="auto"/>
            </w:tcBorders>
          </w:tcPr>
          <w:p w14:paraId="146E5888" w14:textId="77777777" w:rsidR="00294767" w:rsidRDefault="00E01351">
            <w:r>
              <w:t>Рентабельность по OIBDA (OIBDA margin), %</w:t>
            </w:r>
          </w:p>
        </w:tc>
        <w:tc>
          <w:tcPr>
            <w:tcW w:w="2127" w:type="dxa"/>
            <w:tcBorders>
              <w:top w:val="single" w:sz="6" w:space="0" w:color="auto"/>
              <w:left w:val="single" w:sz="6" w:space="0" w:color="auto"/>
              <w:bottom w:val="single" w:sz="6" w:space="0" w:color="auto"/>
              <w:right w:val="single" w:sz="6" w:space="0" w:color="auto"/>
            </w:tcBorders>
          </w:tcPr>
          <w:p w14:paraId="68471C3D" w14:textId="77777777" w:rsidR="00294767" w:rsidRDefault="00294767" w:rsidP="00ED38C0">
            <w:pPr>
              <w:jc w:val="right"/>
            </w:pPr>
          </w:p>
        </w:tc>
        <w:tc>
          <w:tcPr>
            <w:tcW w:w="1950" w:type="dxa"/>
            <w:tcBorders>
              <w:top w:val="single" w:sz="6" w:space="0" w:color="auto"/>
              <w:left w:val="single" w:sz="6" w:space="0" w:color="auto"/>
              <w:bottom w:val="single" w:sz="6" w:space="0" w:color="auto"/>
              <w:right w:val="double" w:sz="6" w:space="0" w:color="auto"/>
            </w:tcBorders>
          </w:tcPr>
          <w:p w14:paraId="0B135144" w14:textId="77777777" w:rsidR="00294767" w:rsidRDefault="00294767" w:rsidP="00ED38C0">
            <w:pPr>
              <w:jc w:val="right"/>
            </w:pPr>
          </w:p>
        </w:tc>
      </w:tr>
      <w:tr w:rsidR="00294767" w14:paraId="1697C363" w14:textId="77777777" w:rsidTr="0029292E">
        <w:tc>
          <w:tcPr>
            <w:tcW w:w="692" w:type="dxa"/>
            <w:tcBorders>
              <w:top w:val="single" w:sz="6" w:space="0" w:color="auto"/>
              <w:left w:val="double" w:sz="6" w:space="0" w:color="auto"/>
              <w:bottom w:val="single" w:sz="6" w:space="0" w:color="auto"/>
              <w:right w:val="single" w:sz="6" w:space="0" w:color="auto"/>
            </w:tcBorders>
          </w:tcPr>
          <w:p w14:paraId="3C034595" w14:textId="77777777" w:rsidR="00294767" w:rsidRDefault="00E01351">
            <w:r>
              <w:lastRenderedPageBreak/>
              <w:t>4</w:t>
            </w:r>
          </w:p>
        </w:tc>
        <w:tc>
          <w:tcPr>
            <w:tcW w:w="4483" w:type="dxa"/>
            <w:tcBorders>
              <w:top w:val="single" w:sz="6" w:space="0" w:color="auto"/>
              <w:left w:val="single" w:sz="6" w:space="0" w:color="auto"/>
              <w:bottom w:val="single" w:sz="6" w:space="0" w:color="auto"/>
              <w:right w:val="single" w:sz="6" w:space="0" w:color="auto"/>
            </w:tcBorders>
          </w:tcPr>
          <w:p w14:paraId="649137EC" w14:textId="77777777" w:rsidR="00294767" w:rsidRDefault="00E01351">
            <w:r>
              <w:t>Чистая прибыль (убыток), тыс. руб.</w:t>
            </w:r>
          </w:p>
        </w:tc>
        <w:tc>
          <w:tcPr>
            <w:tcW w:w="2127" w:type="dxa"/>
            <w:tcBorders>
              <w:top w:val="single" w:sz="6" w:space="0" w:color="auto"/>
              <w:left w:val="single" w:sz="6" w:space="0" w:color="auto"/>
              <w:bottom w:val="single" w:sz="6" w:space="0" w:color="auto"/>
              <w:right w:val="single" w:sz="6" w:space="0" w:color="auto"/>
            </w:tcBorders>
          </w:tcPr>
          <w:p w14:paraId="321B4DEC" w14:textId="77777777" w:rsidR="00294767" w:rsidRDefault="00E01351" w:rsidP="00ED38C0">
            <w:pPr>
              <w:jc w:val="right"/>
            </w:pPr>
            <w:r>
              <w:t>7 766 737</w:t>
            </w:r>
          </w:p>
        </w:tc>
        <w:tc>
          <w:tcPr>
            <w:tcW w:w="1950" w:type="dxa"/>
            <w:tcBorders>
              <w:top w:val="single" w:sz="6" w:space="0" w:color="auto"/>
              <w:left w:val="single" w:sz="6" w:space="0" w:color="auto"/>
              <w:bottom w:val="single" w:sz="6" w:space="0" w:color="auto"/>
              <w:right w:val="double" w:sz="6" w:space="0" w:color="auto"/>
            </w:tcBorders>
          </w:tcPr>
          <w:p w14:paraId="5C8933DE" w14:textId="77777777" w:rsidR="00294767" w:rsidRDefault="00E01351" w:rsidP="00ED38C0">
            <w:pPr>
              <w:jc w:val="right"/>
            </w:pPr>
            <w:r>
              <w:t>18 920 620</w:t>
            </w:r>
          </w:p>
        </w:tc>
      </w:tr>
      <w:tr w:rsidR="00294767" w14:paraId="34A03D66" w14:textId="77777777" w:rsidTr="0029292E">
        <w:tc>
          <w:tcPr>
            <w:tcW w:w="692" w:type="dxa"/>
            <w:tcBorders>
              <w:top w:val="single" w:sz="6" w:space="0" w:color="auto"/>
              <w:left w:val="double" w:sz="6" w:space="0" w:color="auto"/>
              <w:bottom w:val="single" w:sz="6" w:space="0" w:color="auto"/>
              <w:right w:val="single" w:sz="6" w:space="0" w:color="auto"/>
            </w:tcBorders>
          </w:tcPr>
          <w:p w14:paraId="572F6A7B" w14:textId="77777777" w:rsidR="00294767" w:rsidRDefault="00E01351">
            <w:r>
              <w:t>5</w:t>
            </w:r>
          </w:p>
        </w:tc>
        <w:tc>
          <w:tcPr>
            <w:tcW w:w="4483" w:type="dxa"/>
            <w:tcBorders>
              <w:top w:val="single" w:sz="6" w:space="0" w:color="auto"/>
              <w:left w:val="single" w:sz="6" w:space="0" w:color="auto"/>
              <w:bottom w:val="single" w:sz="6" w:space="0" w:color="auto"/>
              <w:right w:val="single" w:sz="6" w:space="0" w:color="auto"/>
            </w:tcBorders>
          </w:tcPr>
          <w:p w14:paraId="5114CF64" w14:textId="77777777" w:rsidR="00294767" w:rsidRDefault="00E01351">
            <w:r>
              <w:t>Чистые денежные средства, полученные от операционной деятельности, тыс. руб.</w:t>
            </w:r>
          </w:p>
        </w:tc>
        <w:tc>
          <w:tcPr>
            <w:tcW w:w="2127" w:type="dxa"/>
            <w:tcBorders>
              <w:top w:val="single" w:sz="6" w:space="0" w:color="auto"/>
              <w:left w:val="single" w:sz="6" w:space="0" w:color="auto"/>
              <w:bottom w:val="single" w:sz="6" w:space="0" w:color="auto"/>
              <w:right w:val="single" w:sz="6" w:space="0" w:color="auto"/>
            </w:tcBorders>
          </w:tcPr>
          <w:p w14:paraId="26651FF2" w14:textId="77777777" w:rsidR="00294767" w:rsidRDefault="00E01351" w:rsidP="00ED38C0">
            <w:pPr>
              <w:jc w:val="right"/>
            </w:pPr>
            <w:r>
              <w:t>17 177 638</w:t>
            </w:r>
          </w:p>
        </w:tc>
        <w:tc>
          <w:tcPr>
            <w:tcW w:w="1950" w:type="dxa"/>
            <w:tcBorders>
              <w:top w:val="single" w:sz="6" w:space="0" w:color="auto"/>
              <w:left w:val="single" w:sz="6" w:space="0" w:color="auto"/>
              <w:bottom w:val="single" w:sz="6" w:space="0" w:color="auto"/>
              <w:right w:val="double" w:sz="6" w:space="0" w:color="auto"/>
            </w:tcBorders>
          </w:tcPr>
          <w:p w14:paraId="108760FB" w14:textId="77777777" w:rsidR="00294767" w:rsidRDefault="00E01351" w:rsidP="00ED38C0">
            <w:pPr>
              <w:jc w:val="right"/>
            </w:pPr>
            <w:r>
              <w:t>31 108 229</w:t>
            </w:r>
          </w:p>
        </w:tc>
      </w:tr>
      <w:tr w:rsidR="00294767" w14:paraId="4C9E03DA" w14:textId="77777777" w:rsidTr="0029292E">
        <w:tc>
          <w:tcPr>
            <w:tcW w:w="692" w:type="dxa"/>
            <w:tcBorders>
              <w:top w:val="single" w:sz="6" w:space="0" w:color="auto"/>
              <w:left w:val="double" w:sz="6" w:space="0" w:color="auto"/>
              <w:bottom w:val="single" w:sz="6" w:space="0" w:color="auto"/>
              <w:right w:val="single" w:sz="6" w:space="0" w:color="auto"/>
            </w:tcBorders>
          </w:tcPr>
          <w:p w14:paraId="02603F16" w14:textId="77777777" w:rsidR="00294767" w:rsidRDefault="00E01351">
            <w:r>
              <w:t>6</w:t>
            </w:r>
          </w:p>
        </w:tc>
        <w:tc>
          <w:tcPr>
            <w:tcW w:w="4483" w:type="dxa"/>
            <w:tcBorders>
              <w:top w:val="single" w:sz="6" w:space="0" w:color="auto"/>
              <w:left w:val="single" w:sz="6" w:space="0" w:color="auto"/>
              <w:bottom w:val="single" w:sz="6" w:space="0" w:color="auto"/>
              <w:right w:val="single" w:sz="6" w:space="0" w:color="auto"/>
            </w:tcBorders>
          </w:tcPr>
          <w:p w14:paraId="4160D7FA" w14:textId="77777777" w:rsidR="00294767" w:rsidRDefault="00E01351">
            <w:r>
              <w:t>Расходы на приобретение основных средств и нематериальных активов (капитальные затраты), тыс. руб.</w:t>
            </w:r>
          </w:p>
        </w:tc>
        <w:tc>
          <w:tcPr>
            <w:tcW w:w="2127" w:type="dxa"/>
            <w:tcBorders>
              <w:top w:val="single" w:sz="6" w:space="0" w:color="auto"/>
              <w:left w:val="single" w:sz="6" w:space="0" w:color="auto"/>
              <w:bottom w:val="single" w:sz="6" w:space="0" w:color="auto"/>
              <w:right w:val="single" w:sz="6" w:space="0" w:color="auto"/>
            </w:tcBorders>
          </w:tcPr>
          <w:p w14:paraId="3B4A7960" w14:textId="77777777" w:rsidR="00294767" w:rsidRDefault="00E01351" w:rsidP="00ED38C0">
            <w:pPr>
              <w:jc w:val="right"/>
            </w:pPr>
            <w:r>
              <w:t>3 087 787</w:t>
            </w:r>
          </w:p>
        </w:tc>
        <w:tc>
          <w:tcPr>
            <w:tcW w:w="1950" w:type="dxa"/>
            <w:tcBorders>
              <w:top w:val="single" w:sz="6" w:space="0" w:color="auto"/>
              <w:left w:val="single" w:sz="6" w:space="0" w:color="auto"/>
              <w:bottom w:val="single" w:sz="6" w:space="0" w:color="auto"/>
              <w:right w:val="double" w:sz="6" w:space="0" w:color="auto"/>
            </w:tcBorders>
          </w:tcPr>
          <w:p w14:paraId="331F2367" w14:textId="77777777" w:rsidR="00294767" w:rsidRDefault="00E01351" w:rsidP="00ED38C0">
            <w:pPr>
              <w:jc w:val="right"/>
            </w:pPr>
            <w:r>
              <w:t>5 962 003</w:t>
            </w:r>
          </w:p>
        </w:tc>
      </w:tr>
      <w:tr w:rsidR="00294767" w14:paraId="55DB359D" w14:textId="77777777" w:rsidTr="0029292E">
        <w:tc>
          <w:tcPr>
            <w:tcW w:w="692" w:type="dxa"/>
            <w:tcBorders>
              <w:top w:val="single" w:sz="6" w:space="0" w:color="auto"/>
              <w:left w:val="double" w:sz="6" w:space="0" w:color="auto"/>
              <w:bottom w:val="single" w:sz="6" w:space="0" w:color="auto"/>
              <w:right w:val="single" w:sz="6" w:space="0" w:color="auto"/>
            </w:tcBorders>
          </w:tcPr>
          <w:p w14:paraId="6506AF70" w14:textId="77777777" w:rsidR="00294767" w:rsidRDefault="00E01351">
            <w:r>
              <w:t>7</w:t>
            </w:r>
          </w:p>
        </w:tc>
        <w:tc>
          <w:tcPr>
            <w:tcW w:w="4483" w:type="dxa"/>
            <w:tcBorders>
              <w:top w:val="single" w:sz="6" w:space="0" w:color="auto"/>
              <w:left w:val="single" w:sz="6" w:space="0" w:color="auto"/>
              <w:bottom w:val="single" w:sz="6" w:space="0" w:color="auto"/>
              <w:right w:val="single" w:sz="6" w:space="0" w:color="auto"/>
            </w:tcBorders>
          </w:tcPr>
          <w:p w14:paraId="4C855572" w14:textId="77777777" w:rsidR="00294767" w:rsidRDefault="00E01351">
            <w:r>
              <w:t>Свободный денежный поток, тыс. руб.</w:t>
            </w:r>
          </w:p>
        </w:tc>
        <w:tc>
          <w:tcPr>
            <w:tcW w:w="2127" w:type="dxa"/>
            <w:tcBorders>
              <w:top w:val="single" w:sz="6" w:space="0" w:color="auto"/>
              <w:left w:val="single" w:sz="6" w:space="0" w:color="auto"/>
              <w:bottom w:val="single" w:sz="6" w:space="0" w:color="auto"/>
              <w:right w:val="single" w:sz="6" w:space="0" w:color="auto"/>
            </w:tcBorders>
          </w:tcPr>
          <w:p w14:paraId="322BD6A0" w14:textId="77777777" w:rsidR="00294767" w:rsidRDefault="00E01351" w:rsidP="00ED38C0">
            <w:pPr>
              <w:jc w:val="right"/>
            </w:pPr>
            <w:r>
              <w:t>14 089 851</w:t>
            </w:r>
          </w:p>
        </w:tc>
        <w:tc>
          <w:tcPr>
            <w:tcW w:w="1950" w:type="dxa"/>
            <w:tcBorders>
              <w:top w:val="single" w:sz="6" w:space="0" w:color="auto"/>
              <w:left w:val="single" w:sz="6" w:space="0" w:color="auto"/>
              <w:bottom w:val="single" w:sz="6" w:space="0" w:color="auto"/>
              <w:right w:val="double" w:sz="6" w:space="0" w:color="auto"/>
            </w:tcBorders>
          </w:tcPr>
          <w:p w14:paraId="56D5744B" w14:textId="77777777" w:rsidR="00294767" w:rsidRDefault="00E01351" w:rsidP="00ED38C0">
            <w:pPr>
              <w:jc w:val="right"/>
            </w:pPr>
            <w:r>
              <w:t>25 146 226</w:t>
            </w:r>
          </w:p>
        </w:tc>
      </w:tr>
      <w:tr w:rsidR="00294767" w14:paraId="7280BC33" w14:textId="77777777" w:rsidTr="0029292E">
        <w:tc>
          <w:tcPr>
            <w:tcW w:w="692" w:type="dxa"/>
            <w:tcBorders>
              <w:top w:val="single" w:sz="6" w:space="0" w:color="auto"/>
              <w:left w:val="double" w:sz="6" w:space="0" w:color="auto"/>
              <w:bottom w:val="single" w:sz="6" w:space="0" w:color="auto"/>
              <w:right w:val="single" w:sz="6" w:space="0" w:color="auto"/>
            </w:tcBorders>
          </w:tcPr>
          <w:p w14:paraId="55A4B61B" w14:textId="77777777" w:rsidR="00294767" w:rsidRDefault="00E01351">
            <w:r>
              <w:t>8</w:t>
            </w:r>
          </w:p>
        </w:tc>
        <w:tc>
          <w:tcPr>
            <w:tcW w:w="4483" w:type="dxa"/>
            <w:tcBorders>
              <w:top w:val="single" w:sz="6" w:space="0" w:color="auto"/>
              <w:left w:val="single" w:sz="6" w:space="0" w:color="auto"/>
              <w:bottom w:val="single" w:sz="6" w:space="0" w:color="auto"/>
              <w:right w:val="single" w:sz="6" w:space="0" w:color="auto"/>
            </w:tcBorders>
          </w:tcPr>
          <w:p w14:paraId="2AEAFD21" w14:textId="77777777" w:rsidR="00294767" w:rsidRDefault="00E01351">
            <w:r>
              <w:t>Чистый долг, тыс. руб.</w:t>
            </w:r>
          </w:p>
        </w:tc>
        <w:tc>
          <w:tcPr>
            <w:tcW w:w="2127" w:type="dxa"/>
            <w:tcBorders>
              <w:top w:val="single" w:sz="6" w:space="0" w:color="auto"/>
              <w:left w:val="single" w:sz="6" w:space="0" w:color="auto"/>
              <w:bottom w:val="single" w:sz="6" w:space="0" w:color="auto"/>
              <w:right w:val="single" w:sz="6" w:space="0" w:color="auto"/>
            </w:tcBorders>
          </w:tcPr>
          <w:p w14:paraId="13FDB43B" w14:textId="77777777" w:rsidR="00294767" w:rsidRDefault="00E01351" w:rsidP="00ED38C0">
            <w:pPr>
              <w:jc w:val="right"/>
            </w:pPr>
            <w:r>
              <w:t>10 099 039</w:t>
            </w:r>
          </w:p>
        </w:tc>
        <w:tc>
          <w:tcPr>
            <w:tcW w:w="1950" w:type="dxa"/>
            <w:tcBorders>
              <w:top w:val="single" w:sz="6" w:space="0" w:color="auto"/>
              <w:left w:val="single" w:sz="6" w:space="0" w:color="auto"/>
              <w:bottom w:val="single" w:sz="6" w:space="0" w:color="auto"/>
              <w:right w:val="double" w:sz="6" w:space="0" w:color="auto"/>
            </w:tcBorders>
          </w:tcPr>
          <w:p w14:paraId="06F7FBBA" w14:textId="77777777" w:rsidR="00294767" w:rsidRDefault="00E01351" w:rsidP="00ED38C0">
            <w:pPr>
              <w:jc w:val="right"/>
            </w:pPr>
            <w:r>
              <w:t>2 718 554</w:t>
            </w:r>
          </w:p>
        </w:tc>
      </w:tr>
      <w:tr w:rsidR="00294767" w14:paraId="4E100769" w14:textId="77777777" w:rsidTr="0029292E">
        <w:tc>
          <w:tcPr>
            <w:tcW w:w="692" w:type="dxa"/>
            <w:tcBorders>
              <w:top w:val="single" w:sz="6" w:space="0" w:color="auto"/>
              <w:left w:val="double" w:sz="6" w:space="0" w:color="auto"/>
              <w:bottom w:val="single" w:sz="6" w:space="0" w:color="auto"/>
              <w:right w:val="single" w:sz="6" w:space="0" w:color="auto"/>
            </w:tcBorders>
          </w:tcPr>
          <w:p w14:paraId="4FC0E21E" w14:textId="77777777" w:rsidR="00294767" w:rsidRDefault="00E01351">
            <w:r>
              <w:t>9</w:t>
            </w:r>
          </w:p>
        </w:tc>
        <w:tc>
          <w:tcPr>
            <w:tcW w:w="4483" w:type="dxa"/>
            <w:tcBorders>
              <w:top w:val="single" w:sz="6" w:space="0" w:color="auto"/>
              <w:left w:val="single" w:sz="6" w:space="0" w:color="auto"/>
              <w:bottom w:val="single" w:sz="6" w:space="0" w:color="auto"/>
              <w:right w:val="single" w:sz="6" w:space="0" w:color="auto"/>
            </w:tcBorders>
          </w:tcPr>
          <w:p w14:paraId="35AF80D3" w14:textId="77777777" w:rsidR="00294767" w:rsidRDefault="00E01351">
            <w:r>
              <w:t>Отношение чистого долга к EBITDA за предыдущие 12 месяцев</w:t>
            </w:r>
          </w:p>
        </w:tc>
        <w:tc>
          <w:tcPr>
            <w:tcW w:w="2127" w:type="dxa"/>
            <w:tcBorders>
              <w:top w:val="single" w:sz="6" w:space="0" w:color="auto"/>
              <w:left w:val="single" w:sz="6" w:space="0" w:color="auto"/>
              <w:bottom w:val="single" w:sz="6" w:space="0" w:color="auto"/>
              <w:right w:val="single" w:sz="6" w:space="0" w:color="auto"/>
            </w:tcBorders>
          </w:tcPr>
          <w:p w14:paraId="28EDF605" w14:textId="77777777" w:rsidR="00294767" w:rsidRDefault="00E01351" w:rsidP="00ED38C0">
            <w:pPr>
              <w:jc w:val="right"/>
            </w:pPr>
            <w:r>
              <w:t>0.</w:t>
            </w:r>
            <w:r w:rsidR="002C2F3A">
              <w:t>6</w:t>
            </w:r>
          </w:p>
        </w:tc>
        <w:tc>
          <w:tcPr>
            <w:tcW w:w="1950" w:type="dxa"/>
            <w:tcBorders>
              <w:top w:val="single" w:sz="6" w:space="0" w:color="auto"/>
              <w:left w:val="single" w:sz="6" w:space="0" w:color="auto"/>
              <w:bottom w:val="single" w:sz="6" w:space="0" w:color="auto"/>
              <w:right w:val="double" w:sz="6" w:space="0" w:color="auto"/>
            </w:tcBorders>
          </w:tcPr>
          <w:p w14:paraId="4C03EFB6" w14:textId="77777777" w:rsidR="00294767" w:rsidRDefault="00E01351" w:rsidP="00ED38C0">
            <w:pPr>
              <w:jc w:val="right"/>
            </w:pPr>
            <w:r>
              <w:t>0.</w:t>
            </w:r>
            <w:r w:rsidR="002C2F3A">
              <w:t>1</w:t>
            </w:r>
          </w:p>
        </w:tc>
      </w:tr>
      <w:tr w:rsidR="00294767" w14:paraId="651F2747" w14:textId="77777777" w:rsidTr="0029292E">
        <w:tc>
          <w:tcPr>
            <w:tcW w:w="692" w:type="dxa"/>
            <w:tcBorders>
              <w:top w:val="single" w:sz="6" w:space="0" w:color="auto"/>
              <w:left w:val="double" w:sz="6" w:space="0" w:color="auto"/>
              <w:bottom w:val="double" w:sz="6" w:space="0" w:color="auto"/>
              <w:right w:val="single" w:sz="6" w:space="0" w:color="auto"/>
            </w:tcBorders>
          </w:tcPr>
          <w:p w14:paraId="57F92F5E" w14:textId="77777777" w:rsidR="00294767" w:rsidRDefault="00E01351">
            <w:r>
              <w:t>10</w:t>
            </w:r>
          </w:p>
        </w:tc>
        <w:tc>
          <w:tcPr>
            <w:tcW w:w="4483" w:type="dxa"/>
            <w:tcBorders>
              <w:top w:val="single" w:sz="6" w:space="0" w:color="auto"/>
              <w:left w:val="single" w:sz="6" w:space="0" w:color="auto"/>
              <w:bottom w:val="double" w:sz="6" w:space="0" w:color="auto"/>
              <w:right w:val="single" w:sz="6" w:space="0" w:color="auto"/>
            </w:tcBorders>
          </w:tcPr>
          <w:p w14:paraId="0D9B1C64" w14:textId="77777777" w:rsidR="00294767" w:rsidRDefault="00E01351">
            <w:r>
              <w:t>Рентабельность капитала (ROE), %</w:t>
            </w:r>
          </w:p>
        </w:tc>
        <w:tc>
          <w:tcPr>
            <w:tcW w:w="2127" w:type="dxa"/>
            <w:tcBorders>
              <w:top w:val="single" w:sz="6" w:space="0" w:color="auto"/>
              <w:left w:val="single" w:sz="6" w:space="0" w:color="auto"/>
              <w:bottom w:val="double" w:sz="6" w:space="0" w:color="auto"/>
              <w:right w:val="single" w:sz="6" w:space="0" w:color="auto"/>
            </w:tcBorders>
          </w:tcPr>
          <w:p w14:paraId="129CE9BE" w14:textId="77777777" w:rsidR="00294767" w:rsidRDefault="00E01351" w:rsidP="00ED38C0">
            <w:pPr>
              <w:jc w:val="right"/>
            </w:pPr>
            <w:r>
              <w:t>37</w:t>
            </w:r>
          </w:p>
        </w:tc>
        <w:tc>
          <w:tcPr>
            <w:tcW w:w="1950" w:type="dxa"/>
            <w:tcBorders>
              <w:top w:val="single" w:sz="6" w:space="0" w:color="auto"/>
              <w:left w:val="single" w:sz="6" w:space="0" w:color="auto"/>
              <w:bottom w:val="double" w:sz="6" w:space="0" w:color="auto"/>
              <w:right w:val="double" w:sz="6" w:space="0" w:color="auto"/>
            </w:tcBorders>
          </w:tcPr>
          <w:p w14:paraId="28BFE774" w14:textId="77777777" w:rsidR="00294767" w:rsidRDefault="00E01351" w:rsidP="00ED38C0">
            <w:pPr>
              <w:jc w:val="right"/>
            </w:pPr>
            <w:r>
              <w:t>55</w:t>
            </w:r>
          </w:p>
        </w:tc>
      </w:tr>
    </w:tbl>
    <w:p w14:paraId="7732BC56" w14:textId="77777777" w:rsidR="00294767" w:rsidRDefault="00294767"/>
    <w:p w14:paraId="70701E82" w14:textId="77777777" w:rsidR="00294767" w:rsidRDefault="00E01351" w:rsidP="002C2F3A">
      <w:pPr>
        <w:ind w:left="400"/>
        <w:jc w:val="both"/>
      </w:pPr>
      <w:r>
        <w:t>Статьи консолидированной финансовой отчетности (финансовой отчетности), на основе которых рассчитан показатель "Чистый долг":</w:t>
      </w:r>
      <w:r>
        <w:br/>
      </w:r>
      <w:r>
        <w:rPr>
          <w:rStyle w:val="Subst"/>
        </w:rPr>
        <w:t>Чистый долг = Кредиты и займы (Долгосрочные обязательства) + Кредиты и займы (Краткосрочные обязательства) - Денежные средства и эквиваленты денежных средств</w:t>
      </w:r>
      <w:r>
        <w:rPr>
          <w:rStyle w:val="Subst"/>
        </w:rPr>
        <w:br/>
      </w:r>
    </w:p>
    <w:p w14:paraId="184F5764" w14:textId="77777777" w:rsidR="00294767" w:rsidRDefault="00E01351" w:rsidP="008B0AA0">
      <w:pPr>
        <w:ind w:left="400"/>
        <w:jc w:val="both"/>
      </w:pPr>
      <w:r>
        <w:t>Статьи консолидированной финансовой (финансовой) отчётности, на основе которых рассчитан показатель EBITDA или OIBDA:</w:t>
      </w:r>
      <w:r>
        <w:br/>
      </w:r>
      <w:r>
        <w:rPr>
          <w:rStyle w:val="Subst"/>
        </w:rPr>
        <w:t>EBITDA = Прибыль до налогообложения - Финансовые расходы-нетто (исключая чистую прибыль/(убыток) от курсовой разницы по финансовой деятельности) - Амортизация основных средств, активов в форме права пользования и нематериальных активов</w:t>
      </w:r>
      <w:r>
        <w:rPr>
          <w:rStyle w:val="Subst"/>
        </w:rPr>
        <w:br/>
      </w:r>
    </w:p>
    <w:p w14:paraId="36D85C0A" w14:textId="77777777" w:rsidR="00294767" w:rsidRDefault="00E01351" w:rsidP="008B0AA0">
      <w:pPr>
        <w:ind w:left="200"/>
        <w:jc w:val="both"/>
        <w:rPr>
          <w:rStyle w:val="Subst"/>
        </w:rPr>
      </w:pPr>
      <w:r>
        <w:t>Приводится анализ динамики изменения приведенных финансовых показателей.</w:t>
      </w:r>
      <w:r>
        <w:br/>
        <w:t>Описываются основные события и факторы, в том числе макроэкономические, произошедшие в отчетном периоде, которые оказали существенное влияние на изменение приведенных финансовых показателей:</w:t>
      </w:r>
      <w:r>
        <w:br/>
      </w:r>
      <w:r>
        <w:rPr>
          <w:rStyle w:val="Subst"/>
        </w:rPr>
        <w:t xml:space="preserve">   &gt;   Рентабельность по EBITDA (EBITDA margin) – показывает процент от выручки, сохраняемый компанией до уплаты налогов, процентов по кредитам и амортизации. Расчет рентабельности по EBITDA позволяет оценить эффективность усилий компании по сокращению затрат. Чем выше рентабельность EBITDA, тем ниже ее операционные расходы по отношению к общей выручке, и выше эффективность компании. За 2022 год значение показателя увеличилось на 39% по сравнению с 2021 годом (увеличение выручки по сравнению аналогичным периодом составило 42%, увеличение EBITDA составило 98%).</w:t>
      </w:r>
      <w:r>
        <w:rPr>
          <w:rStyle w:val="Subst"/>
        </w:rPr>
        <w:br/>
        <w:t xml:space="preserve">   &gt;   Свободный денежный поток  – представляет собой разность между чистыми денежными средствами, полученными от операционной деятельности, и капитальными затратами. За 2022 год значение показателя увеличилось на 78% по сравнению с 2021 годом (Чистые денежные средства, полученные от операционной деятельности увеличились на 81% по сравнению аналогичным периодом, Капитальные затраты увеличились на 93% по сравнению аналогичным периодом).</w:t>
      </w:r>
      <w:r>
        <w:rPr>
          <w:rStyle w:val="Subst"/>
        </w:rPr>
        <w:br/>
        <w:t xml:space="preserve">   &gt;   Чистый долг  –  представляет собой разность между общим долгом и денежными средствами и их эквивалентами. Чистый долг позволяет оценить долговую нагрузку компании. За 2022 год значение показателя снизилось на 73% по сравнению с 2021 годом.</w:t>
      </w:r>
      <w:r>
        <w:rPr>
          <w:rStyle w:val="Subst"/>
        </w:rPr>
        <w:br/>
        <w:t xml:space="preserve">   &gt;   Отношение чистого долга к EBITDA за предыдущие 12 месяцев – это показатель долговой нагрузки на организации, ее способности погасить имеющиеся обязательства (платежеспособности). За 2022 год значение показателя снизилось на 86% по сравнению с 2021 годом.</w:t>
      </w:r>
      <w:r>
        <w:rPr>
          <w:rStyle w:val="Subst"/>
        </w:rPr>
        <w:br/>
        <w:t xml:space="preserve">   &gt;   Рентабельность капитала (ROE) – коэффициент рентабельности собственного капитала, расcчитывается как отношение чистой прибыли (убытка) к среднегодовому размеру собственного (акционерного) капитала. За 2022 год значение показателя увеличилось на 49% по сравнению с 2021 годом. (увеличение чистой прибыли по сравнению аналогичным периодом составило 144%).</w:t>
      </w:r>
      <w:r>
        <w:rPr>
          <w:rStyle w:val="Subst"/>
        </w:rPr>
        <w:br/>
      </w:r>
      <w:r>
        <w:rPr>
          <w:rStyle w:val="Subst"/>
        </w:rPr>
        <w:br/>
        <w:t xml:space="preserve">       В целом на основании проведенного анализа можно сделать вывод, что платежеспособность Эмитента находится на высоком уровне, а финансовое положение Эмитента характеризуется как надежное и устойчивое. Эмитент в состоянии покрыть свои обязательства в установленный срок.</w:t>
      </w:r>
      <w:r>
        <w:rPr>
          <w:rStyle w:val="Subst"/>
        </w:rPr>
        <w:br/>
      </w:r>
      <w:r>
        <w:rPr>
          <w:rStyle w:val="Subst"/>
        </w:rPr>
        <w:br/>
        <w:t xml:space="preserve">       В 2020 году вспышка пандемии коронавирусной инфекции (COVID-19) и введенный весной 2020 года локдаун существенно затормозили темпы роста Российской экономики. Весной 2021 года ситуация начала стабилизироваться. К концу 1-го полугодия 2021 г. спрос на полувагоны оживился. </w:t>
      </w:r>
      <w:r>
        <w:rPr>
          <w:rStyle w:val="Subst"/>
        </w:rPr>
        <w:lastRenderedPageBreak/>
        <w:t>Это связано с растущими объемами погрузки практически во всех товарных сегментах (уголь, ЖРС, чермет, минерально-строительные и прочие грузы). На протяжении 2-го полугодия</w:t>
      </w:r>
      <w:r w:rsidR="007F7152">
        <w:rPr>
          <w:rStyle w:val="Subst"/>
        </w:rPr>
        <w:t xml:space="preserve"> 2021 года</w:t>
      </w:r>
      <w:r>
        <w:rPr>
          <w:rStyle w:val="Subst"/>
        </w:rPr>
        <w:t xml:space="preserve"> прослеживался дефицит вагонов на сети РЖД, который стимулировал рост ставок. С конца февраля 2022 года на российскую экономику и условия деятельности Компании негативно повлияла эскалация военно-политического конфликта между Россией и Украиной и связанные с этим международные санкции против ряда российских учреждений, компаний, банков и частных лиц. Эффективное управление расходами и грамотная работа менеджмента Компании позволили в 2022 году достигнуть хорошего уровня прибыли.</w:t>
      </w:r>
    </w:p>
    <w:p w14:paraId="7DD68177" w14:textId="77777777" w:rsidR="00294767" w:rsidRDefault="00E01351">
      <w:pPr>
        <w:pStyle w:val="2"/>
      </w:pPr>
      <w:bookmarkStart w:id="8" w:name="_Toc133918759"/>
      <w:r>
        <w:t>1.5. Сведения об основных поставщиках, имеющих для эмитента существенное значение</w:t>
      </w:r>
      <w:bookmarkEnd w:id="8"/>
    </w:p>
    <w:p w14:paraId="4C0694B7" w14:textId="34B58953" w:rsidR="003D01BB" w:rsidRDefault="003D01BB" w:rsidP="008B0AA0">
      <w:pPr>
        <w:ind w:left="200"/>
        <w:jc w:val="both"/>
      </w:pPr>
      <w:r w:rsidRPr="003D01BB">
        <w:t>Информация</w:t>
      </w:r>
      <w:r>
        <w:t xml:space="preserve"> не раскрывается в соответствии с Постановлением Правительства от 12 марта 2022 года</w:t>
      </w:r>
      <w:r w:rsidR="002050AD">
        <w:t xml:space="preserve"> </w:t>
      </w:r>
      <w:r>
        <w:t xml:space="preserve"> № 351.</w:t>
      </w:r>
    </w:p>
    <w:p w14:paraId="62B0D28B" w14:textId="77777777" w:rsidR="003D01BB" w:rsidRPr="003D01BB" w:rsidRDefault="003D01BB" w:rsidP="008B0AA0">
      <w:pPr>
        <w:ind w:left="200"/>
        <w:jc w:val="both"/>
      </w:pPr>
    </w:p>
    <w:p w14:paraId="54EAE356" w14:textId="77777777" w:rsidR="00294767" w:rsidRDefault="00E01351">
      <w:pPr>
        <w:pStyle w:val="2"/>
      </w:pPr>
      <w:bookmarkStart w:id="9" w:name="_Toc133918760"/>
      <w:r>
        <w:t>1.6. Сведения об основных дебиторах, имеющих для эмитента существенное значение</w:t>
      </w:r>
      <w:bookmarkEnd w:id="9"/>
    </w:p>
    <w:p w14:paraId="6C2D5D9A" w14:textId="38A786FB" w:rsidR="003D01BB" w:rsidRPr="00BA672A" w:rsidRDefault="003D01BB" w:rsidP="003D01BB">
      <w:pPr>
        <w:ind w:left="200"/>
        <w:jc w:val="both"/>
      </w:pPr>
      <w:r w:rsidRPr="00BA672A">
        <w:t>Информация не раскрывается в соответствии с Постановлением Правительства от 12 марта 2022 года</w:t>
      </w:r>
      <w:r w:rsidR="002050AD">
        <w:t xml:space="preserve">  </w:t>
      </w:r>
      <w:r w:rsidRPr="00BA672A">
        <w:t>№ 351.</w:t>
      </w:r>
    </w:p>
    <w:p w14:paraId="79CA49B5" w14:textId="77777777" w:rsidR="003D01BB" w:rsidRDefault="003D01BB" w:rsidP="008B0AA0">
      <w:pPr>
        <w:ind w:left="200"/>
        <w:jc w:val="both"/>
        <w:rPr>
          <w:highlight w:val="red"/>
        </w:rPr>
      </w:pPr>
    </w:p>
    <w:p w14:paraId="21D35F92" w14:textId="361ECAE1" w:rsidR="00294767" w:rsidRDefault="00E01351">
      <w:pPr>
        <w:pStyle w:val="2"/>
      </w:pPr>
      <w:bookmarkStart w:id="10" w:name="_Toc133918761"/>
      <w:r>
        <w:t>1.7. Сведения об обязательствах эмитента</w:t>
      </w:r>
      <w:bookmarkEnd w:id="10"/>
    </w:p>
    <w:p w14:paraId="5659E890" w14:textId="77777777" w:rsidR="00D50627" w:rsidRPr="00D50627" w:rsidRDefault="00D50627" w:rsidP="00D50627"/>
    <w:p w14:paraId="45062F31" w14:textId="77777777" w:rsidR="00294767" w:rsidRDefault="00E01351">
      <w:pPr>
        <w:pStyle w:val="2"/>
      </w:pPr>
      <w:bookmarkStart w:id="11" w:name="_Toc133918762"/>
      <w:r>
        <w:t>1.7.1. Сведения об основных кредиторах, имеющих для эмитента существенное значение</w:t>
      </w:r>
      <w:bookmarkEnd w:id="11"/>
    </w:p>
    <w:p w14:paraId="2D4CD227" w14:textId="77777777" w:rsidR="003D01BB" w:rsidRPr="003D01BB" w:rsidRDefault="003D01BB" w:rsidP="003D01BB">
      <w:pPr>
        <w:ind w:left="200"/>
        <w:jc w:val="both"/>
      </w:pPr>
      <w:r w:rsidRPr="003D01BB">
        <w:t>Информация не раскрывается в соответствии с Постановлением Правительства от 12 марта 2022 года  № 351.</w:t>
      </w:r>
    </w:p>
    <w:p w14:paraId="7D2D82AC" w14:textId="77777777" w:rsidR="00294767" w:rsidRDefault="00294767">
      <w:pPr>
        <w:ind w:left="400"/>
      </w:pPr>
    </w:p>
    <w:p w14:paraId="55FAFDD7" w14:textId="77777777" w:rsidR="008B0AA0" w:rsidRDefault="00E01351" w:rsidP="008B0AA0">
      <w:pPr>
        <w:ind w:left="400"/>
        <w:jc w:val="both"/>
        <w:rPr>
          <w:rStyle w:val="Subst"/>
        </w:rPr>
      </w:pPr>
      <w:r>
        <w:t>Полное фирменное наименование:</w:t>
      </w:r>
      <w:r>
        <w:rPr>
          <w:rStyle w:val="Subst"/>
        </w:rPr>
        <w:t xml:space="preserve"> Облигационный заем, Биржевые облигации неконвертируемые процентные документарные на предъявителя серии ПБО-01 с обязательным централизованным хранением, идентификационный номер выпуска – 4B02-01-08551-A-001P ISIN: RU000A0ZYTZ8 </w:t>
      </w:r>
    </w:p>
    <w:p w14:paraId="18E8F69A" w14:textId="77777777" w:rsidR="00294767" w:rsidRDefault="00E01351" w:rsidP="008B0AA0">
      <w:pPr>
        <w:ind w:left="400"/>
        <w:jc w:val="both"/>
      </w:pPr>
      <w:r>
        <w:rPr>
          <w:rStyle w:val="Subst"/>
        </w:rPr>
        <w:t>CFI: DBFUFB</w:t>
      </w:r>
    </w:p>
    <w:p w14:paraId="3C492F16" w14:textId="77777777" w:rsidR="00294767" w:rsidRDefault="00E01351" w:rsidP="008B0AA0">
      <w:pPr>
        <w:ind w:left="400"/>
        <w:jc w:val="both"/>
      </w:pPr>
      <w:r>
        <w:t>Сокращенное фирменное наименование:</w:t>
      </w:r>
    </w:p>
    <w:p w14:paraId="5EA04139" w14:textId="77777777" w:rsidR="00294767" w:rsidRDefault="00E01351" w:rsidP="008B0AA0">
      <w:pPr>
        <w:ind w:left="400"/>
        <w:jc w:val="both"/>
      </w:pPr>
      <w:r>
        <w:t>Место нахождения:</w:t>
      </w:r>
    </w:p>
    <w:p w14:paraId="44F30691" w14:textId="77777777" w:rsidR="00294767" w:rsidRPr="008B0AA0" w:rsidRDefault="00E01351" w:rsidP="008B0AA0">
      <w:pPr>
        <w:ind w:left="400"/>
        <w:jc w:val="both"/>
        <w:rPr>
          <w:b/>
          <w:bCs/>
          <w:i/>
          <w:iCs/>
        </w:rPr>
      </w:pPr>
      <w:r w:rsidRPr="008B0AA0">
        <w:rPr>
          <w:rStyle w:val="Subst"/>
          <w:b w:val="0"/>
          <w:bCs w:val="0"/>
          <w:i w:val="0"/>
          <w:iCs w:val="0"/>
        </w:rPr>
        <w:t>ИНН не присвоен</w:t>
      </w:r>
    </w:p>
    <w:p w14:paraId="3A4FC0DE" w14:textId="77777777" w:rsidR="00294767" w:rsidRPr="008B0AA0" w:rsidRDefault="00E01351" w:rsidP="008B0AA0">
      <w:pPr>
        <w:ind w:left="400"/>
        <w:jc w:val="both"/>
        <w:rPr>
          <w:b/>
          <w:bCs/>
          <w:i/>
          <w:iCs/>
        </w:rPr>
      </w:pPr>
      <w:r w:rsidRPr="008B0AA0">
        <w:rPr>
          <w:rStyle w:val="Subst"/>
          <w:b w:val="0"/>
          <w:bCs w:val="0"/>
          <w:i w:val="0"/>
          <w:iCs w:val="0"/>
        </w:rPr>
        <w:t>ОГРН не присвоен</w:t>
      </w:r>
    </w:p>
    <w:p w14:paraId="20A6D679" w14:textId="77777777" w:rsidR="00294767" w:rsidRDefault="00E01351" w:rsidP="008B0AA0">
      <w:pPr>
        <w:ind w:left="400"/>
        <w:jc w:val="both"/>
      </w:pPr>
      <w:r>
        <w:t>Сумма кредиторской задолженности:</w:t>
      </w:r>
      <w:r>
        <w:rPr>
          <w:rStyle w:val="Subst"/>
        </w:rPr>
        <w:t xml:space="preserve"> 1 283 520.81</w:t>
      </w:r>
    </w:p>
    <w:p w14:paraId="3B7EA0EC" w14:textId="77777777" w:rsidR="00294767" w:rsidRDefault="00E01351" w:rsidP="008B0AA0">
      <w:pPr>
        <w:ind w:left="400"/>
        <w:jc w:val="both"/>
      </w:pPr>
      <w:r>
        <w:t>Единица измерения:</w:t>
      </w:r>
      <w:r>
        <w:rPr>
          <w:rStyle w:val="Subst"/>
        </w:rPr>
        <w:t xml:space="preserve"> тыс. руб.</w:t>
      </w:r>
    </w:p>
    <w:p w14:paraId="03F043B9" w14:textId="77777777" w:rsidR="00294767" w:rsidRDefault="00E01351" w:rsidP="008B0AA0">
      <w:pPr>
        <w:ind w:left="400"/>
        <w:jc w:val="both"/>
      </w:pPr>
      <w:r>
        <w:t>Доля основного кредитора в объеме кредиторской задолженности, %:</w:t>
      </w:r>
      <w:r>
        <w:rPr>
          <w:rStyle w:val="Subst"/>
        </w:rPr>
        <w:t xml:space="preserve"> 5</w:t>
      </w:r>
    </w:p>
    <w:p w14:paraId="3362B659" w14:textId="77777777" w:rsidR="00294767" w:rsidRDefault="00E01351" w:rsidP="008B0AA0">
      <w:pPr>
        <w:ind w:left="400"/>
        <w:jc w:val="both"/>
      </w:pPr>
      <w:r>
        <w:t>Размер и условия (процентная ставка, размер неустойки) просроченной кредиторской задолженности:</w:t>
      </w:r>
      <w:r>
        <w:br/>
      </w:r>
      <w:r>
        <w:rPr>
          <w:rStyle w:val="Subst"/>
        </w:rPr>
        <w:t>7,25%</w:t>
      </w:r>
    </w:p>
    <w:p w14:paraId="6CFA3943" w14:textId="77777777" w:rsidR="00294767" w:rsidRDefault="00E01351" w:rsidP="008B0AA0">
      <w:pPr>
        <w:ind w:left="400"/>
        <w:jc w:val="both"/>
      </w:pPr>
      <w:r>
        <w:rPr>
          <w:rStyle w:val="Subst"/>
        </w:rPr>
        <w:t>Кредиторская задолженность возникла в связи с заключением кредитного договора (договора займа)</w:t>
      </w:r>
    </w:p>
    <w:p w14:paraId="5673C3BD" w14:textId="77777777" w:rsidR="00294767" w:rsidRDefault="00E01351" w:rsidP="008B0AA0">
      <w:pPr>
        <w:ind w:left="400"/>
        <w:jc w:val="both"/>
      </w:pPr>
      <w:r>
        <w:t>Дата заключения кредитного договора (договора займа):</w:t>
      </w:r>
      <w:r>
        <w:rPr>
          <w:rStyle w:val="Subst"/>
        </w:rPr>
        <w:t xml:space="preserve"> 2018-02-16</w:t>
      </w:r>
    </w:p>
    <w:p w14:paraId="32290200" w14:textId="77777777" w:rsidR="00294767" w:rsidRDefault="00E01351" w:rsidP="008B0AA0">
      <w:pPr>
        <w:ind w:left="400"/>
        <w:jc w:val="both"/>
      </w:pPr>
      <w:r>
        <w:t>Дата прекращения кредитного договора (договора займа), в том числе в связи с его исполнением:</w:t>
      </w:r>
      <w:r>
        <w:rPr>
          <w:rStyle w:val="Subst"/>
        </w:rPr>
        <w:t xml:space="preserve"> 2023-02-14</w:t>
      </w:r>
    </w:p>
    <w:p w14:paraId="6A3E99C2" w14:textId="77777777" w:rsidR="00294767" w:rsidRDefault="00294767" w:rsidP="008B0AA0">
      <w:pPr>
        <w:ind w:left="400"/>
        <w:jc w:val="both"/>
      </w:pPr>
    </w:p>
    <w:p w14:paraId="7E9D868F" w14:textId="77777777" w:rsidR="00294767" w:rsidRDefault="00E01351" w:rsidP="008B0AA0">
      <w:pPr>
        <w:ind w:left="400"/>
        <w:jc w:val="both"/>
      </w:pPr>
      <w:r>
        <w:t>Основной кредитор не является организацией, подконтрольной члену органов управления эмитента и (или) лицу, контролирующему эмитента</w:t>
      </w:r>
    </w:p>
    <w:p w14:paraId="7C40090B" w14:textId="77777777" w:rsidR="00294767" w:rsidRDefault="00294767" w:rsidP="008B0AA0">
      <w:pPr>
        <w:ind w:left="400"/>
        <w:jc w:val="both"/>
      </w:pPr>
    </w:p>
    <w:p w14:paraId="3FA7D6D1" w14:textId="77777777" w:rsidR="008B0AA0" w:rsidRDefault="00E01351" w:rsidP="008B0AA0">
      <w:pPr>
        <w:ind w:left="400"/>
        <w:jc w:val="both"/>
        <w:rPr>
          <w:rStyle w:val="Subst"/>
        </w:rPr>
      </w:pPr>
      <w:r>
        <w:t>Полное фирменное наименование:</w:t>
      </w:r>
      <w:r>
        <w:rPr>
          <w:rStyle w:val="Subst"/>
        </w:rPr>
        <w:t xml:space="preserve"> Облигационный заем, Биржевые облигации неконвертируемые процентные документарные на предъявителя серии ПБО-02 с обязательным централизованным хранением, идентификационный номер выпуска – 4B02-02-08551-A-001P ISIN: RU000A1004A2 </w:t>
      </w:r>
    </w:p>
    <w:p w14:paraId="24E8F874" w14:textId="77777777" w:rsidR="00294767" w:rsidRDefault="00E01351">
      <w:pPr>
        <w:ind w:left="400"/>
      </w:pPr>
      <w:r>
        <w:rPr>
          <w:rStyle w:val="Subst"/>
        </w:rPr>
        <w:t>CFI: DBFUFB</w:t>
      </w:r>
    </w:p>
    <w:p w14:paraId="18903C88" w14:textId="77777777" w:rsidR="00294767" w:rsidRDefault="00E01351">
      <w:pPr>
        <w:ind w:left="400"/>
      </w:pPr>
      <w:r>
        <w:t>Сокращенное фирменное наименование:</w:t>
      </w:r>
    </w:p>
    <w:p w14:paraId="706EDE55" w14:textId="77777777" w:rsidR="00294767" w:rsidRDefault="00E01351">
      <w:pPr>
        <w:ind w:left="400"/>
      </w:pPr>
      <w:r>
        <w:t>Место нахождения:</w:t>
      </w:r>
    </w:p>
    <w:p w14:paraId="6854542B" w14:textId="77777777" w:rsidR="008B0AA0" w:rsidRPr="008B0AA0" w:rsidRDefault="008B0AA0" w:rsidP="008B0AA0">
      <w:pPr>
        <w:ind w:left="400"/>
        <w:jc w:val="both"/>
        <w:rPr>
          <w:b/>
          <w:bCs/>
          <w:i/>
          <w:iCs/>
        </w:rPr>
      </w:pPr>
      <w:r w:rsidRPr="008B0AA0">
        <w:rPr>
          <w:rStyle w:val="Subst"/>
          <w:b w:val="0"/>
          <w:bCs w:val="0"/>
          <w:i w:val="0"/>
          <w:iCs w:val="0"/>
        </w:rPr>
        <w:t>ИНН не присвоен</w:t>
      </w:r>
    </w:p>
    <w:p w14:paraId="062DE80A" w14:textId="77777777" w:rsidR="008B0AA0" w:rsidRPr="008B0AA0" w:rsidRDefault="008B0AA0" w:rsidP="008B0AA0">
      <w:pPr>
        <w:ind w:left="400"/>
        <w:jc w:val="both"/>
        <w:rPr>
          <w:b/>
          <w:bCs/>
          <w:i/>
          <w:iCs/>
        </w:rPr>
      </w:pPr>
      <w:r w:rsidRPr="008B0AA0">
        <w:rPr>
          <w:rStyle w:val="Subst"/>
          <w:b w:val="0"/>
          <w:bCs w:val="0"/>
          <w:i w:val="0"/>
          <w:iCs w:val="0"/>
        </w:rPr>
        <w:t>ОГРН не присвоен</w:t>
      </w:r>
    </w:p>
    <w:p w14:paraId="2A2B891F" w14:textId="77777777" w:rsidR="00294767" w:rsidRDefault="00294767">
      <w:pPr>
        <w:ind w:left="400"/>
      </w:pPr>
    </w:p>
    <w:p w14:paraId="63383AA8" w14:textId="77777777" w:rsidR="00294767" w:rsidRDefault="00E01351">
      <w:pPr>
        <w:ind w:left="400"/>
      </w:pPr>
      <w:r>
        <w:t>Сумма кредиторской задолженности:</w:t>
      </w:r>
      <w:r>
        <w:rPr>
          <w:rStyle w:val="Subst"/>
        </w:rPr>
        <w:t xml:space="preserve"> 3 872 050</w:t>
      </w:r>
    </w:p>
    <w:p w14:paraId="7F2F3B69" w14:textId="77777777" w:rsidR="00294767" w:rsidRDefault="00E01351">
      <w:pPr>
        <w:ind w:left="400"/>
      </w:pPr>
      <w:r>
        <w:t>Единица измерения:</w:t>
      </w:r>
      <w:r>
        <w:rPr>
          <w:rStyle w:val="Subst"/>
        </w:rPr>
        <w:t xml:space="preserve"> тыс. руб.</w:t>
      </w:r>
    </w:p>
    <w:p w14:paraId="52071910" w14:textId="77777777" w:rsidR="00294767" w:rsidRDefault="00E01351">
      <w:pPr>
        <w:ind w:left="400"/>
      </w:pPr>
      <w:r>
        <w:t>Доля основного кредитора в объеме кредиторской задолженности, %:</w:t>
      </w:r>
      <w:r>
        <w:rPr>
          <w:rStyle w:val="Subst"/>
        </w:rPr>
        <w:t xml:space="preserve"> 14</w:t>
      </w:r>
    </w:p>
    <w:p w14:paraId="755966A2" w14:textId="77777777" w:rsidR="00294767" w:rsidRDefault="00E01351" w:rsidP="008B0AA0">
      <w:pPr>
        <w:ind w:left="400"/>
        <w:jc w:val="both"/>
      </w:pPr>
      <w:r>
        <w:t>Размер и условия (процентная ставка, размер неустойки) просроченной кредиторской задолженности:</w:t>
      </w:r>
      <w:r>
        <w:br/>
      </w:r>
      <w:r>
        <w:rPr>
          <w:rStyle w:val="Subst"/>
        </w:rPr>
        <w:t>8,80%</w:t>
      </w:r>
    </w:p>
    <w:p w14:paraId="01C33D4E" w14:textId="77777777" w:rsidR="00294767" w:rsidRDefault="00E01351" w:rsidP="008B0AA0">
      <w:pPr>
        <w:ind w:left="400"/>
        <w:jc w:val="both"/>
      </w:pPr>
      <w:r>
        <w:rPr>
          <w:rStyle w:val="Subst"/>
        </w:rPr>
        <w:t>Кредиторская задолженность возникла в связи с заключением кредитного договора (договора займа)</w:t>
      </w:r>
    </w:p>
    <w:p w14:paraId="3A1394E8" w14:textId="77777777" w:rsidR="00294767" w:rsidRDefault="00E01351" w:rsidP="008B0AA0">
      <w:pPr>
        <w:ind w:left="400"/>
        <w:jc w:val="both"/>
      </w:pPr>
      <w:r>
        <w:t>Дата заключения кредитного договора (договора займа):</w:t>
      </w:r>
      <w:r>
        <w:rPr>
          <w:rStyle w:val="Subst"/>
        </w:rPr>
        <w:t xml:space="preserve"> 2019-02-19</w:t>
      </w:r>
    </w:p>
    <w:p w14:paraId="1C444B46" w14:textId="77777777" w:rsidR="00294767" w:rsidRDefault="00E01351" w:rsidP="008B0AA0">
      <w:pPr>
        <w:ind w:left="400"/>
        <w:jc w:val="both"/>
      </w:pPr>
      <w:r>
        <w:t>Дата прекращения кредитного договора (договора займа), в том числе в связи с его исполнением:</w:t>
      </w:r>
      <w:r>
        <w:rPr>
          <w:rStyle w:val="Subst"/>
        </w:rPr>
        <w:t xml:space="preserve"> 2024-02-15</w:t>
      </w:r>
    </w:p>
    <w:p w14:paraId="03086F63" w14:textId="77777777" w:rsidR="00294767" w:rsidRDefault="00294767" w:rsidP="008B0AA0">
      <w:pPr>
        <w:ind w:left="400"/>
        <w:jc w:val="both"/>
      </w:pPr>
    </w:p>
    <w:p w14:paraId="75A5C9DB" w14:textId="77777777" w:rsidR="00294767" w:rsidRDefault="00E01351" w:rsidP="008B0AA0">
      <w:pPr>
        <w:ind w:left="400"/>
        <w:jc w:val="both"/>
      </w:pPr>
      <w:r>
        <w:t>Основной кредитор не является организацией, подконтрольной члену органов управления эмитента и (или) лицу, контролирующему эмитента</w:t>
      </w:r>
    </w:p>
    <w:p w14:paraId="743DCCCC" w14:textId="77777777" w:rsidR="008B0AA0" w:rsidRDefault="008B0AA0" w:rsidP="008B0AA0">
      <w:pPr>
        <w:ind w:left="400"/>
        <w:jc w:val="both"/>
      </w:pPr>
    </w:p>
    <w:p w14:paraId="01E690CB" w14:textId="77777777" w:rsidR="00294767" w:rsidRDefault="00E01351">
      <w:pPr>
        <w:pStyle w:val="2"/>
      </w:pPr>
      <w:bookmarkStart w:id="12" w:name="_Toc133918763"/>
      <w:r>
        <w:t>1.7.2. Сведения об обязательствах эмитента из предоставленного обеспечения</w:t>
      </w:r>
      <w:bookmarkEnd w:id="12"/>
    </w:p>
    <w:p w14:paraId="50002E73" w14:textId="6196287D" w:rsidR="003D01BB" w:rsidRPr="003D01BB" w:rsidRDefault="003D01BB" w:rsidP="003D01BB">
      <w:pPr>
        <w:ind w:left="400"/>
      </w:pPr>
      <w:r w:rsidRPr="003D01BB">
        <w:t>Информация не раскрывается в соответствии с Постановлением Правительства от 12 марта 2022 года № 351.</w:t>
      </w:r>
    </w:p>
    <w:p w14:paraId="7A785CC1" w14:textId="77777777" w:rsidR="00294767" w:rsidRDefault="00294767">
      <w:pPr>
        <w:ind w:left="400"/>
      </w:pPr>
    </w:p>
    <w:p w14:paraId="768B5AEF" w14:textId="77777777" w:rsidR="00294767" w:rsidRDefault="00E01351">
      <w:pPr>
        <w:pStyle w:val="2"/>
      </w:pPr>
      <w:bookmarkStart w:id="13" w:name="_Toc133918764"/>
      <w:r>
        <w:t>1.7.3. Сведения о прочих существенных обязательствах эмитента</w:t>
      </w:r>
      <w:bookmarkEnd w:id="13"/>
    </w:p>
    <w:p w14:paraId="5B2C88B8" w14:textId="77777777" w:rsidR="00294767" w:rsidRDefault="00E01351">
      <w:pPr>
        <w:ind w:left="200"/>
      </w:pPr>
      <w:r>
        <w:rPr>
          <w:rStyle w:val="Subst"/>
        </w:rPr>
        <w:t>Прочих обязательств, которые, по мнению эмитента, могут существенным образом воздействовать на финансовое положение эмитента (группы эмитента), в том числе на ликвидность, источники финансирования и условия их использования, результаты деятельности и расходы, не имеется</w:t>
      </w:r>
    </w:p>
    <w:p w14:paraId="5685EB76" w14:textId="77777777" w:rsidR="00294767" w:rsidRDefault="00E01351">
      <w:pPr>
        <w:pStyle w:val="2"/>
      </w:pPr>
      <w:bookmarkStart w:id="14" w:name="_Toc133918765"/>
      <w:r>
        <w:t>1.8. Сведения о перспективах развития эмитента</w:t>
      </w:r>
      <w:bookmarkEnd w:id="14"/>
    </w:p>
    <w:p w14:paraId="6AA6E7EE" w14:textId="77777777" w:rsidR="00294767" w:rsidRDefault="00E01351">
      <w:pPr>
        <w:ind w:left="200"/>
      </w:pPr>
      <w:r>
        <w:t>Приводится описание стратегии дальнейшего развития эмитента (а если эмитентом составляется и раскрывается консолидированная финансовая отчетность - стратегии дальнейшего развития группы эмитента) не менее чем на год в отношении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14:paraId="201C7C0A" w14:textId="77777777" w:rsidR="00294767" w:rsidRDefault="00E01351" w:rsidP="00C324B9">
      <w:pPr>
        <w:ind w:left="200"/>
        <w:jc w:val="both"/>
      </w:pPr>
      <w:r>
        <w:rPr>
          <w:rStyle w:val="Subst"/>
        </w:rPr>
        <w:t xml:space="preserve">        В 2023 году Общество будет продолжать придерживаться стратегии по увеличению доли на рынке перевозок грузов горно-металлургического сектора и расширению присутствия на рынке перевозок угля и минерально-строительных грузов в целях обеспечения транспортных потребностей крупнейших предприятий российской промышленности. </w:t>
      </w:r>
      <w:r>
        <w:rPr>
          <w:rStyle w:val="Subst"/>
        </w:rPr>
        <w:br/>
        <w:t xml:space="preserve">        Кроме того, к стратегическим целям Общества можно отнести обеспечение устойчивости бизнеса путем создания благоприятной внешней среды (нормативно-правовая база, тарифы, отраслевые стратегии) через активное участие в деятельности различных объединений (НП «Союз операторов железнодорожного транспорта» и Совет потребителей по вопросам деятельности ОАО «РЖД» и др.). </w:t>
      </w:r>
      <w:r>
        <w:rPr>
          <w:rStyle w:val="Subst"/>
        </w:rPr>
        <w:br/>
        <w:t xml:space="preserve">        Стратегия развития Общества в 2023 г. предусматривает поиск и реализацию новых направлений бизнеса, в том числе организация перевозок и обслуживание подъездных путей промышленных предприятий (промышленная логистика), привлечение новых клиентов.</w:t>
      </w:r>
      <w:r>
        <w:rPr>
          <w:rStyle w:val="Subst"/>
        </w:rPr>
        <w:br/>
        <w:t xml:space="preserve">        Источником будущих доходов будет являться результаты основной деятельности Эмитента.</w:t>
      </w:r>
      <w:r>
        <w:rPr>
          <w:rStyle w:val="Subst"/>
        </w:rPr>
        <w:br/>
      </w:r>
    </w:p>
    <w:p w14:paraId="7FCF58A8" w14:textId="77777777" w:rsidR="00294767" w:rsidRDefault="00E01351">
      <w:pPr>
        <w:pStyle w:val="2"/>
      </w:pPr>
      <w:bookmarkStart w:id="15" w:name="_Toc133918766"/>
      <w:r>
        <w:t>1.9. Сведения о рисках, связанных с деятельностью эмитента</w:t>
      </w:r>
      <w:bookmarkEnd w:id="15"/>
    </w:p>
    <w:p w14:paraId="50891ABE" w14:textId="77777777" w:rsidR="00294767" w:rsidRDefault="00E01351">
      <w:pPr>
        <w:ind w:left="200"/>
      </w:pPr>
      <w:r>
        <w:t>Описываются риски, реализация которых может оказать существенное влияние на финансово-хозяйственную деятельность и финансовое положение эмитента, а если эмитентом составляется и раскрывается консолидированная финансовая отчетность, - на финансово-хозяйственную деятельность и финансовое положение группы эмитента.</w:t>
      </w:r>
      <w:r>
        <w:br/>
        <w:t>Информация, раскрываемая в настоящем пункте, должна объективно и достоверно описывать риски, относящиеся к эмитенту (группе эмитента), с указанием возможных последствий реализации каждого из описанных рисков применительно к эмитенту (группе эмитента) с учетом специфики деятельности эмитента (группы эмитента).</w:t>
      </w:r>
      <w:r>
        <w:br/>
        <w:t xml:space="preserve">Для детализированного представления информации эмитент может приводить сведения о рисках в </w:t>
      </w:r>
      <w:r>
        <w:lastRenderedPageBreak/>
        <w:t>отношении выделяемых сегментов операционной деятельности, видов товаров (работ, услуг), географии ведения бизнеса, иных аспектов, характеризующих специфику деятельности эмитента (группы эмитента).</w:t>
      </w:r>
      <w:r>
        <w:br/>
      </w:r>
    </w:p>
    <w:p w14:paraId="36D3D2A6" w14:textId="77777777" w:rsidR="00294767" w:rsidRDefault="00E01351">
      <w:pPr>
        <w:pStyle w:val="2"/>
      </w:pPr>
      <w:bookmarkStart w:id="16" w:name="_Toc133918767"/>
      <w:r>
        <w:t>1.9.1. Отраслевые риски</w:t>
      </w:r>
      <w:bookmarkEnd w:id="16"/>
    </w:p>
    <w:p w14:paraId="77450C28" w14:textId="76C1CF4C" w:rsidR="002B37CB" w:rsidRDefault="00E01351" w:rsidP="00C324B9">
      <w:pPr>
        <w:ind w:left="200"/>
        <w:jc w:val="both"/>
        <w:rPr>
          <w:rStyle w:val="Subst"/>
        </w:rPr>
      </w:pPr>
      <w:r>
        <w:rPr>
          <w:rStyle w:val="Subst"/>
        </w:rPr>
        <w:t>Влияние возможного ухудшения ситуации в отрасли эмитента на его деятельность и исполнение им обязательств по ценным бумагам. Приводятся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r>
        <w:rPr>
          <w:rStyle w:val="Subst"/>
        </w:rPr>
        <w:br/>
        <w:t xml:space="preserve">        Акционерное общество «Новая перевозочная компания» (АО «НПК», НПК, Общество, Компания, Эмитент) является одним из крупнейших независимых транспортных предприятий на российском рынке грузовых перевозок железнодорожным транспортом. АО «НПК» занимает лидирующие позиции среди частных операторов железнодорожного подвижного состава, оказывающих услуги по организации перевозок продукции металлургических и горно-обогатительных комбинатов, минерально-строительных и прочих грузов.</w:t>
      </w:r>
      <w:r>
        <w:rPr>
          <w:rStyle w:val="Subst"/>
        </w:rPr>
        <w:br/>
        <w:t xml:space="preserve">Обширная география грузоперевозок Общества включает территории России, а также стран СНГ и Балтии. </w:t>
      </w:r>
      <w:r>
        <w:rPr>
          <w:rStyle w:val="Subst"/>
        </w:rPr>
        <w:br/>
      </w:r>
      <w:r>
        <w:rPr>
          <w:rStyle w:val="Subst"/>
        </w:rPr>
        <w:br/>
        <w:t xml:space="preserve">Внутренний рынок: </w:t>
      </w:r>
      <w:r>
        <w:rPr>
          <w:rStyle w:val="Subst"/>
        </w:rPr>
        <w:br/>
      </w:r>
      <w:r>
        <w:rPr>
          <w:rStyle w:val="Subst"/>
        </w:rPr>
        <w:br/>
        <w:t>Зависимость от российского рынка железнодорожных перевозок и состояния грузовой базы</w:t>
      </w:r>
      <w:r>
        <w:rPr>
          <w:rStyle w:val="Subst"/>
        </w:rPr>
        <w:br/>
      </w:r>
      <w:r>
        <w:rPr>
          <w:rStyle w:val="Subst"/>
        </w:rPr>
        <w:br/>
        <w:t xml:space="preserve">        Одним из основных отраслевых рисков для Общества является возможное снижение темпов роста или возможное сокращение объемов железнодорожных перевозок грузов в сегментах его работы. Этот риск характерен для любого оператора железнодорожного подвижного состава в России.</w:t>
      </w:r>
      <w:r>
        <w:rPr>
          <w:rStyle w:val="Subst"/>
        </w:rPr>
        <w:br/>
        <w:t xml:space="preserve">        </w:t>
      </w:r>
      <w:r w:rsidRPr="00CB6F65">
        <w:rPr>
          <w:rStyle w:val="Subst"/>
        </w:rPr>
        <w:t xml:space="preserve">Основными причинами снижения объемов перевозок могут стать неблагоприятные тенденции в российской экономике и ухудшение внешнеэкономической конъюнктуры. Сохранение введенных в 2014 году санкций в отношении России и усиление санкционного давления </w:t>
      </w:r>
      <w:r w:rsidRPr="00E34599">
        <w:rPr>
          <w:rStyle w:val="Subst"/>
        </w:rPr>
        <w:t xml:space="preserve">на фоне кризиса на Украине в 2022 году, ответные меры со стороны России, ограниченная инвестиционная активность, а также ослабление спроса на сырьевые товары на внешних рынках </w:t>
      </w:r>
      <w:r w:rsidR="00CB6F65" w:rsidRPr="00E34599">
        <w:rPr>
          <w:rStyle w:val="Subst"/>
        </w:rPr>
        <w:t>оказал</w:t>
      </w:r>
      <w:r w:rsidR="00E34599" w:rsidRPr="00E34599">
        <w:rPr>
          <w:rStyle w:val="Subst"/>
        </w:rPr>
        <w:t>и</w:t>
      </w:r>
      <w:r w:rsidR="00CB6F65" w:rsidRPr="00E34599">
        <w:rPr>
          <w:rStyle w:val="Subst"/>
        </w:rPr>
        <w:t xml:space="preserve"> </w:t>
      </w:r>
      <w:r w:rsidRPr="00E34599">
        <w:rPr>
          <w:rStyle w:val="Subst"/>
        </w:rPr>
        <w:t>негативное влияние на динамику производства в российской промышленности и приве</w:t>
      </w:r>
      <w:r w:rsidR="00E34599" w:rsidRPr="00E34599">
        <w:rPr>
          <w:rStyle w:val="Subst"/>
        </w:rPr>
        <w:t>ли</w:t>
      </w:r>
      <w:r w:rsidRPr="00E34599">
        <w:rPr>
          <w:rStyle w:val="Subst"/>
        </w:rPr>
        <w:t xml:space="preserve"> к сокращению объемов перевозок грузов по железным дорогам.</w:t>
      </w:r>
      <w:r>
        <w:rPr>
          <w:rStyle w:val="Subst"/>
        </w:rPr>
        <w:br/>
        <w:t xml:space="preserve">        Еще одной причиной снижения железнодорожных перевозок может стать обострение конкуренции между различными видами транспорта в отдельных сегментах рынка перевозок. Внутри страны потенциальными конкурентами железнодорожного транспорта могут стать трубопроводный (перевозки нефти и нефтепродуктов), речной (строительные и прочие грузы в период летней навигации) и автомобильный транспорт (перевозки грузов на относительно короткие расстояния). При этом железнодорожный транспорт за период январь – декабрь 2020 г. занимал доминирующее положение на рынке грузоперевозок в России. По данным Росстата, грузооборот железнодорожного транспорта за этот период составил 2 544,95 млрд. тн.-км, что составляло 87% от суммарного грузооборота в России за исключением трубопроводного транспорта.</w:t>
      </w:r>
      <w:r>
        <w:rPr>
          <w:rStyle w:val="Subst"/>
        </w:rPr>
        <w:br/>
        <w:t xml:space="preserve">      По итогам 2021 года железнодорожный транспорт занимал доминирующее положение на рынке грузоперевозок в России. По данным Росстата, грузооборот железнодорожного транспорта за этот период составил 2 639,4 млрд. тн.-км, что составляет 90,5% от суммарного грузооборота в России без учета трубопроводного транспорта.</w:t>
      </w:r>
      <w:r>
        <w:rPr>
          <w:rStyle w:val="Subst"/>
        </w:rPr>
        <w:br/>
        <w:t xml:space="preserve">      Железнодорожный транспорт за период январь – декабрь 2022 г. продолжает занимать доминирующее положение на рынке грузоперевозок в России. По данным Росстата, грузооборот железнодорожного транспорта за этот период составил 2 637,63 млрд. тн.-км, что составляет 86,7% от суммарного грузооборота в России без учета трубопроводного транспорта.</w:t>
      </w:r>
      <w:r>
        <w:rPr>
          <w:rStyle w:val="Subst"/>
        </w:rPr>
        <w:br/>
      </w:r>
      <w:r>
        <w:rPr>
          <w:rStyle w:val="Subst"/>
        </w:rPr>
        <w:br/>
        <w:t xml:space="preserve">        Риском для АО «НПК» является рост конкуренции между операторами железнодорожного подвижного состава во всех сегментах рынка железнодорожных перевозок, что может привести к снижению доходности оперирования и локальному перераспределению грузовой базы между операторами.</w:t>
      </w:r>
      <w:r>
        <w:rPr>
          <w:rStyle w:val="Subst"/>
        </w:rPr>
        <w:br/>
      </w:r>
      <w:r>
        <w:rPr>
          <w:rStyle w:val="Subst"/>
        </w:rPr>
        <w:br/>
        <w:t xml:space="preserve">        Приведенные выше риски способны оказать воздействие на деятельность Общества, его финансовое положение, результаты операционной деятельности, перспективы. Данные риски не могут управляться Обществом, однако последнее принимает все возможные действия с целью ограничения последующего негативного влияния данных рисков. Для снижения возможных негативных последствий менеджмент АО «НПК» регулярно отслеживает и анализирует текущую ситуацию на рынке железнодорожных перевозок и прогнозы дальнейшего развития. С </w:t>
      </w:r>
      <w:r>
        <w:rPr>
          <w:rStyle w:val="Subst"/>
        </w:rPr>
        <w:lastRenderedPageBreak/>
        <w:t>целью минимизации возможных потерь от снижения перевозок на локальных направлениях, Общество предпринимает меры по максимальной диверсификации бизнеса в отношении Клиентов грузоотправителей, регионов работы и видов перевозимых грузов.</w:t>
      </w:r>
      <w:r>
        <w:rPr>
          <w:rStyle w:val="Subst"/>
        </w:rPr>
        <w:br/>
      </w:r>
      <w:r>
        <w:rPr>
          <w:rStyle w:val="Subst"/>
        </w:rPr>
        <w:br/>
        <w:t>Риски, связанные с зависимостью от взаимоотношений с ОАО «РЖД», рыночными регуляторами, государственными органами</w:t>
      </w:r>
      <w:r>
        <w:rPr>
          <w:rStyle w:val="Subst"/>
        </w:rPr>
        <w:br/>
      </w:r>
      <w:r>
        <w:rPr>
          <w:rStyle w:val="Subst"/>
        </w:rPr>
        <w:br/>
        <w:t xml:space="preserve">        Бизнес Компании зависит от функционирования железнодорожной инфраструктуры России. ОАО «РЖД» является единственным оператором железнодорожной инфраструктуры и занимает монопольное положение в обслуживании движения. Как оператор грузовых перевозок, АО «НПК» зависит от услуг по обслуживанию движения, эксплуатационных и других услуг ОАО «РЖД», а также от качества предоставляемой ОАО «РЖД» оперативной информации. </w:t>
      </w:r>
      <w:r>
        <w:rPr>
          <w:rStyle w:val="Subst"/>
        </w:rPr>
        <w:br/>
        <w:t xml:space="preserve">        На бизнес АО «НПК» может оказать отрицательное влияние состояние материально-технической базы и прочих активов, принадлежащих ОАО «РЖД», в особенности, железнодорожной сети и локомотивов. Данный риск способен оказывать определенное негативное влияние на финансовое положение Общества через увеличение стоимости ремонтно-восстановительных работ на подвижном составе, а также в виде увеличения себестоимости услуг, обусловленной снижением эффективности логистического процесса. Данные риски не могут управляться Компанией, однако последняя принимает все возможные действия с целью ограничения последующего негативного влияния данных рисков.</w:t>
      </w:r>
      <w:r>
        <w:rPr>
          <w:rStyle w:val="Subst"/>
        </w:rPr>
        <w:br/>
        <w:t xml:space="preserve">        Усилия АО «НПК» в области информационных технологий направлены на снижение негативного влияния риска снижения качества и своевременности информации, представляемой ОАО «РЖД». В случае возможных негативных изменений в политике ОАО «РЖД» и рыночных регуляторов, оказывающих непосредственное влияние на функционирование всей отрасли в целом, Компания предпримет все возможное для предотвращения снижения возможности обслуживать принятые на себя обязательства.</w:t>
      </w:r>
      <w:r>
        <w:rPr>
          <w:rStyle w:val="Subst"/>
        </w:rPr>
        <w:br/>
        <w:t xml:space="preserve">        Менеджмент АО «НПК» регулярно отслеживает и анализирует позицию Правительства РФ, Минтранса РФ в части возможных изменений в регулировании железнодорожных перевозок. Менеджмент Общества в качестве превентивных мероприятий проводит анализ прогнозов Минэкономразвития по социально-экономическому развитию страны с целью определения возможных негативных тенденций, способных оказать воздействие на деятельность Общества.</w:t>
      </w:r>
      <w:r>
        <w:rPr>
          <w:rStyle w:val="Subst"/>
        </w:rPr>
        <w:br/>
        <w:t xml:space="preserve">        В июле 2009 года Общество вошло в состав некоммерческого партнерства (НП) «Совет участников рынка операторов железнодорожного подвижного состава». Участие в деятельности некоммерческого партнерства, которое выполняет функции саморегулируемой организации (СРО) на железнодорожном транспорте, дает возможность, наряду с другими компаниями-операторами, коллективно обращаться в органы государственной власти с нормативными и законодательными инициативами, добиваться изменений в существующей правовой базе и управлять своими рисками за счет консолидации действий участников операторского рынка и нового правового статуса. </w:t>
      </w:r>
      <w:r>
        <w:rPr>
          <w:rStyle w:val="Subst"/>
        </w:rPr>
        <w:br/>
      </w:r>
      <w:bookmarkStart w:id="17" w:name="_GoBack"/>
      <w:bookmarkEnd w:id="17"/>
      <w:r>
        <w:rPr>
          <w:rStyle w:val="Subst"/>
        </w:rPr>
        <w:br/>
        <w:t>Внешний рынок:</w:t>
      </w:r>
      <w:r>
        <w:rPr>
          <w:rStyle w:val="Subst"/>
        </w:rPr>
        <w:br/>
        <w:t xml:space="preserve">        </w:t>
      </w:r>
      <w:r>
        <w:rPr>
          <w:rStyle w:val="Subst"/>
        </w:rPr>
        <w:br/>
        <w:t xml:space="preserve">        Риски, связанные с конъюнктурой на внешних рынках, имеют ограниченное влияние на Эмитента, так как основная деятельность Эмитента сосредоточена в Российской Федерации.  Тем не менее, учитывая наличие перевозок по территории стран СНГ и Балтии, менеджмент Компании отслеживает ситуацию в транспортной сфере данных государств с целью оперативного принятия мер для минимизации влияния данных рисков.</w:t>
      </w:r>
      <w:r>
        <w:rPr>
          <w:rStyle w:val="Subst"/>
        </w:rPr>
        <w:br/>
        <w:t xml:space="preserve">        Ключевые внешние риски в настоящее время связаны с проведением специальной военной операции на территории Украины и санкционным давлением США, Европейского Союза, Великобритании и ряда других стран на Российскую Федерацию. Реализация этих рисков привела к прекращению ж/д сообщения с Украиной и Финляндией, а также ограничению движения в направлении стран Балтии. Данные события негативно отразились на объемах железнодорожных перевозок в эти страны, а также на транзитных грузопотоках.</w:t>
      </w:r>
      <w:r>
        <w:rPr>
          <w:rStyle w:val="Subst"/>
        </w:rPr>
        <w:br/>
      </w:r>
      <w:r>
        <w:rPr>
          <w:rStyle w:val="Subst"/>
        </w:rPr>
        <w:br/>
      </w:r>
      <w:r>
        <w:rPr>
          <w:rStyle w:val="Subst"/>
        </w:rPr>
        <w:br/>
        <w:t xml:space="preserve">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им обязательств по ценным бумагам: </w:t>
      </w:r>
      <w:r>
        <w:rPr>
          <w:rStyle w:val="Subst"/>
        </w:rPr>
        <w:br/>
        <w:t xml:space="preserve">       </w:t>
      </w:r>
      <w:r>
        <w:rPr>
          <w:rStyle w:val="Subst"/>
        </w:rPr>
        <w:br/>
        <w:t xml:space="preserve">Внутренний рынок: </w:t>
      </w:r>
      <w:r>
        <w:rPr>
          <w:rStyle w:val="Subst"/>
        </w:rPr>
        <w:br/>
        <w:t xml:space="preserve">        </w:t>
      </w:r>
      <w:r>
        <w:rPr>
          <w:rStyle w:val="Subst"/>
        </w:rPr>
        <w:br/>
        <w:t>Риски, связанные с ростом цен на приобретение и ремонт подвижного состава</w:t>
      </w:r>
      <w:r>
        <w:rPr>
          <w:rStyle w:val="Subst"/>
        </w:rPr>
        <w:br/>
      </w:r>
      <w:r>
        <w:rPr>
          <w:rStyle w:val="Subst"/>
        </w:rPr>
        <w:br/>
        <w:t xml:space="preserve">        Рост стоимости нового подвижного состава ограничивает возможность группы в его приобретении из-за увеличения сроков окупаемости. В настоящее время средний возраст парка АО </w:t>
      </w:r>
      <w:r>
        <w:rPr>
          <w:rStyle w:val="Subst"/>
        </w:rPr>
        <w:lastRenderedPageBreak/>
        <w:t xml:space="preserve">«НПК» составляет </w:t>
      </w:r>
      <w:r w:rsidR="008C33F6">
        <w:rPr>
          <w:rStyle w:val="Subst"/>
        </w:rPr>
        <w:t>12</w:t>
      </w:r>
      <w:r>
        <w:rPr>
          <w:rStyle w:val="Subst"/>
        </w:rPr>
        <w:t xml:space="preserve"> лет. Тем не менее, в долгосрочной перспективе обновление парка компании может быть затруднено из-за высокой стоимости его приобретения. Менеджмент Компании проводит переговоры с производителями вагонов о снижении стоимости новых вагонов, и также анализирует возможности приобретения на рынке не нового подвижного состава, в том числе через покупку компаний, и аренды подвижного состава.</w:t>
      </w:r>
      <w:r>
        <w:rPr>
          <w:rStyle w:val="Subst"/>
        </w:rPr>
        <w:br/>
      </w:r>
      <w:r>
        <w:rPr>
          <w:rStyle w:val="Subst"/>
        </w:rPr>
        <w:br/>
        <w:t>Риски, связанные с зависимостью от тарифов ОАО «РЖД» (инфраструктурной составляющей) и регуляторных решений федеральных органов исполнительной власти</w:t>
      </w:r>
      <w:r>
        <w:rPr>
          <w:rStyle w:val="Subst"/>
        </w:rPr>
        <w:br/>
      </w:r>
      <w:r>
        <w:rPr>
          <w:rStyle w:val="Subst"/>
        </w:rPr>
        <w:br/>
        <w:t xml:space="preserve">        Финансовые результаты Компании зависят от тарифов за использование инфраструктуры (железнодорожной сети и услуг локомотивов), установленных Федеральной Антимонопольной Службой Российской Федерации (ФАС России) и взимаемых ОАО «РЖД» за порожние пробеги вагонов. </w:t>
      </w:r>
      <w:r>
        <w:rPr>
          <w:rStyle w:val="Subst"/>
        </w:rPr>
        <w:br/>
        <w:t xml:space="preserve">        Если цены на услуги операторов за пользование вагонами снизятся в результате регуляторной политики ФАС России, это может негативно повлиять на существующую гибкость в области цен на свои услуги по предоставлению парка вагонов. Все это в результате может затронуть бизнес, финансовое состояние и операционные результаты деятельности.</w:t>
      </w:r>
      <w:r>
        <w:rPr>
          <w:rStyle w:val="Subst"/>
        </w:rPr>
        <w:br/>
        <w:t xml:space="preserve">        В своей оперативной деятельности АО «НПК» проводит прогнозирование влияния негативного изменения тарифов на свое финансовое и конкурентное положение и разрабатывает меры по ограничению влияния данного негативного фактора на себестоимость услуг. В рамках данного прогнозирования осуществляется регулярный анализ сообщений отраслевой прессы, комментариев специалистов ФАС России, ОАО «РЖД», проводится работа с клиентами, направленная на минимизацию последствий внесенных в Прейскурант 10-01 изменений.</w:t>
      </w:r>
      <w:r>
        <w:rPr>
          <w:rStyle w:val="Subst"/>
        </w:rPr>
        <w:br/>
        <w:t xml:space="preserve">        В случае отрицательного влияния изменения тарифов на деятельность, Общество предполагает скорректировать свои планы для обеспечения финансовой дисциплины и выполнения принятых на себя обязательств.</w:t>
      </w:r>
      <w:r>
        <w:rPr>
          <w:rStyle w:val="Subst"/>
        </w:rPr>
        <w:br/>
      </w:r>
      <w:r>
        <w:rPr>
          <w:rStyle w:val="Subst"/>
        </w:rPr>
        <w:br/>
        <w:t>Внешний рынок:</w:t>
      </w:r>
      <w:r>
        <w:rPr>
          <w:rStyle w:val="Subst"/>
        </w:rPr>
        <w:br/>
      </w:r>
      <w:r>
        <w:rPr>
          <w:rStyle w:val="Subst"/>
        </w:rPr>
        <w:br/>
        <w:t xml:space="preserve">        Учитывая наличие перевозок по территории сопредельных стран, Эмитент подвержен негативному воздействию изменения стоимости услуг железных дорог Азербайджана, Беларуси, Казахстана и других Среднеазиатских дорог.</w:t>
      </w:r>
      <w:r>
        <w:rPr>
          <w:rStyle w:val="Subst"/>
        </w:rPr>
        <w:br/>
        <w:t xml:space="preserve">        Страны пространства колеи 1520 мм могут вносить изменения в технические регламенты к состоянию парка и к процедуре допуска вагонов.</w:t>
      </w:r>
      <w:r>
        <w:rPr>
          <w:rStyle w:val="Subst"/>
        </w:rPr>
        <w:br/>
        <w:t xml:space="preserve">        Эмитент, при организации договорных отношений с клиентами, учитывает данный риск и способен ограничить его влияния до уровня приемлемости, когда Эмитент может гарантировать исполнение взятых на себя обязательств.</w:t>
      </w:r>
      <w:r>
        <w:rPr>
          <w:rStyle w:val="Subst"/>
        </w:rPr>
        <w:br/>
      </w:r>
      <w:r>
        <w:rPr>
          <w:rStyle w:val="Subst"/>
        </w:rPr>
        <w:br/>
      </w:r>
      <w:r>
        <w:rPr>
          <w:rStyle w:val="Subst"/>
        </w:rPr>
        <w:br/>
        <w:t xml:space="preserve">Риски, связанные с возможным изменением цен на продукцию и/или услуги эмитента (отдельно на внутреннем и внешнем рынках), и их влияние на деятельность эмитента и исполнение им обязательств по ценным бумагам: </w:t>
      </w:r>
      <w:r>
        <w:rPr>
          <w:rStyle w:val="Subst"/>
        </w:rPr>
        <w:br/>
      </w:r>
      <w:r>
        <w:rPr>
          <w:rStyle w:val="Subst"/>
        </w:rPr>
        <w:br/>
        <w:t>Внутренний рынок:</w:t>
      </w:r>
      <w:r>
        <w:rPr>
          <w:rStyle w:val="Subst"/>
        </w:rPr>
        <w:br/>
        <w:t xml:space="preserve">        </w:t>
      </w:r>
      <w:r>
        <w:rPr>
          <w:rStyle w:val="Subst"/>
        </w:rPr>
        <w:br/>
        <w:t xml:space="preserve">        Финансовые результаты деятельности Эмитента, в первую очередь, определяются конъюнктурой на рынке операторских услуг. В связи с принятыми мерами по списанию вагонов с истекшим сроком службы конъюнктура рынка значительно улучшилась во второй половине 2016 г. и оставалась благоприятной до 1 полугодия 2019 гг. Со второго полугодия 2019 г. до 202</w:t>
      </w:r>
      <w:r w:rsidR="002B37CB">
        <w:rPr>
          <w:rStyle w:val="Subst"/>
        </w:rPr>
        <w:t>0</w:t>
      </w:r>
      <w:r>
        <w:rPr>
          <w:rStyle w:val="Subst"/>
        </w:rPr>
        <w:t xml:space="preserve"> г. </w:t>
      </w:r>
      <w:r w:rsidR="002B37CB">
        <w:rPr>
          <w:rStyle w:val="Subst"/>
        </w:rPr>
        <w:t>в связи с общим спадом экономики</w:t>
      </w:r>
      <w:r>
        <w:rPr>
          <w:rStyle w:val="Subst"/>
        </w:rPr>
        <w:t>, в том числе из-за последствий пандемии CОVID-19</w:t>
      </w:r>
      <w:r w:rsidR="00CF07D7" w:rsidRPr="00CF07D7">
        <w:rPr>
          <w:b/>
          <w:bCs/>
          <w:i/>
          <w:iCs/>
        </w:rPr>
        <w:t xml:space="preserve"> ситуация ухудшилась</w:t>
      </w:r>
      <w:r>
        <w:rPr>
          <w:rStyle w:val="Subst"/>
        </w:rPr>
        <w:t xml:space="preserve">. </w:t>
      </w:r>
      <w:r w:rsidR="002B37CB">
        <w:rPr>
          <w:rStyle w:val="Subst"/>
        </w:rPr>
        <w:t>В 2021 году наблюдался восстановительный рост российской экономики, который способствовал положительной динамике грузоперевозок. С марта 2022 года в связи с началом СВО, проводимой РФ на Украине произошел умеренный спад экономики РФ, что нашло свое отражение в снижении погрузки на сети РЖД.</w:t>
      </w:r>
      <w:r>
        <w:rPr>
          <w:rStyle w:val="Subst"/>
        </w:rPr>
        <w:t xml:space="preserve"> </w:t>
      </w:r>
    </w:p>
    <w:p w14:paraId="2EF06347" w14:textId="77777777" w:rsidR="00294767" w:rsidRDefault="00E01351" w:rsidP="00C324B9">
      <w:pPr>
        <w:ind w:left="200"/>
        <w:jc w:val="both"/>
      </w:pPr>
      <w:r>
        <w:rPr>
          <w:rStyle w:val="Subst"/>
        </w:rPr>
        <w:t xml:space="preserve">       Помимо спроса на подвижной состав существует ряд дополнительных факторов, которые будут влиять на рост или падение ставок на предоставление парка. Такими факторами являются производство новых вагонов и условия для компаний-операторов для их покупки, индексация тарифов РЖД, условия отдельных контрактов, внешние факторы (пошлины, законодательство, санкции и пр.). </w:t>
      </w:r>
      <w:r>
        <w:rPr>
          <w:rStyle w:val="Subst"/>
        </w:rPr>
        <w:br/>
        <w:t xml:space="preserve">        Для снижения рисков падения доходности Компания работает с ключевыми клиентами на условиях долгосрочных контрактов. Заключение долгосрочных контрактов с клиентами приводит к тому, что факторы, оказывающие краткосрочное влияние на рынок, в периоды действия контрактов не находят отражение в ценах на услуги оператора.  </w:t>
      </w:r>
      <w:r>
        <w:rPr>
          <w:rStyle w:val="Subst"/>
        </w:rPr>
        <w:br/>
      </w:r>
      <w:r>
        <w:rPr>
          <w:rStyle w:val="Subst"/>
        </w:rPr>
        <w:br/>
      </w:r>
      <w:r>
        <w:rPr>
          <w:rStyle w:val="Subst"/>
        </w:rPr>
        <w:lastRenderedPageBreak/>
        <w:t>Внешний рынок:</w:t>
      </w:r>
      <w:r>
        <w:rPr>
          <w:rStyle w:val="Subst"/>
        </w:rPr>
        <w:br/>
      </w:r>
      <w:r>
        <w:rPr>
          <w:rStyle w:val="Subst"/>
        </w:rPr>
        <w:br/>
        <w:t xml:space="preserve">        Изменение цен на услуги Эмитента на внешних рынках имеет крайне ограничительное влияние на его финансовые показатели, т.к. основная деятельность сосредоточена в Российской Федерации.</w:t>
      </w:r>
      <w:r>
        <w:rPr>
          <w:rStyle w:val="Subst"/>
        </w:rPr>
        <w:br/>
      </w:r>
    </w:p>
    <w:p w14:paraId="571D614D" w14:textId="77777777" w:rsidR="00294767" w:rsidRDefault="00E01351">
      <w:pPr>
        <w:pStyle w:val="2"/>
      </w:pPr>
      <w:bookmarkStart w:id="18" w:name="_Toc133918768"/>
      <w:r>
        <w:t>1.9.2. Страновые и региональные риски</w:t>
      </w:r>
      <w:bookmarkEnd w:id="18"/>
    </w:p>
    <w:p w14:paraId="1D2A9DE4" w14:textId="2279058B" w:rsidR="00294767" w:rsidRDefault="00E01351" w:rsidP="00C324B9">
      <w:pPr>
        <w:ind w:left="200"/>
        <w:jc w:val="both"/>
      </w:pPr>
      <w:r>
        <w:rPr>
          <w:rStyle w:val="Subst"/>
        </w:rPr>
        <w:t xml:space="preserve">        Риски, связанные с политической и экономической ситуацией в стране (странах) и регионе, в которых эмитент зарегистрирован в качестве налогоплательщика и/или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 Предполагаемые действия эмитента на случай отрицательного влияния изменения ситуации в стране (странах) и регионе на его деятельность: </w:t>
      </w:r>
      <w:r>
        <w:rPr>
          <w:rStyle w:val="Subst"/>
        </w:rPr>
        <w:br/>
      </w:r>
      <w:r>
        <w:rPr>
          <w:rStyle w:val="Subst"/>
        </w:rPr>
        <w:br/>
        <w:t xml:space="preserve">        Основная деятельность Эмитента сосредоточена в Российской Федерации, поэтому основные страновые и региональные риски, влияющие на деятельность Эмитента, характерны для Российской Федерации. </w:t>
      </w:r>
      <w:r>
        <w:rPr>
          <w:rStyle w:val="Subst"/>
        </w:rPr>
        <w:br/>
      </w:r>
      <w:r>
        <w:rPr>
          <w:rStyle w:val="Subst"/>
        </w:rPr>
        <w:br/>
        <w:t xml:space="preserve">        Негативными</w:t>
      </w:r>
      <w:r w:rsidR="00A501DE" w:rsidRPr="00381400">
        <w:rPr>
          <w:rStyle w:val="Subst"/>
        </w:rPr>
        <w:t xml:space="preserve"> </w:t>
      </w:r>
      <w:r>
        <w:rPr>
          <w:rStyle w:val="Subst"/>
        </w:rPr>
        <w:t>факторами являются санкции, введенные Соединенными Штатами Америки и Европейским Союзом в отношении России, и санкции со стороны России в отношении других стран, а также структурные недостатки российской экономики, в частности сильная зависимость от стоимости углеводородов и других сырьевых ресурсов, ограничивающие конкурентоспособность экономики и обусловливающие неблагоприятный инвестиционный и деловой климат.</w:t>
      </w:r>
      <w:r>
        <w:rPr>
          <w:rStyle w:val="Subst"/>
        </w:rPr>
        <w:br/>
        <w:t xml:space="preserve">        Город Москва, в котором Эмитент зарегистрирован по месту своего нахождения и состоит на налоговом учете, является одним из наиболее развитых экономических центров страны. Экономические перспективы центрального региона практически совпадают со страновыми. По оценке Эмитента, риск значительного ухудшения экономической ситуации в Москве, негативно влияющего на деятельность Эмитента, не существенен. </w:t>
      </w:r>
      <w:r>
        <w:rPr>
          <w:rStyle w:val="Subst"/>
        </w:rPr>
        <w:br/>
      </w:r>
      <w:r>
        <w:rPr>
          <w:rStyle w:val="Subst"/>
        </w:rPr>
        <w:br/>
        <w:t xml:space="preserve">        Большинство из указанных в настоящем разделе рисков ввиду глобальности их масштаба находится вне контроля Эмитента.</w:t>
      </w:r>
      <w:r>
        <w:rPr>
          <w:rStyle w:val="Subst"/>
        </w:rPr>
        <w:br/>
      </w:r>
      <w:r>
        <w:rPr>
          <w:rStyle w:val="Subst"/>
        </w:rPr>
        <w:br/>
        <w:t xml:space="preserve">        Предполагаемые действия эмитента на случай отрицательного влияния изменения ситуации в стране и регионе на его деятельность: </w:t>
      </w:r>
      <w:r>
        <w:rPr>
          <w:rStyle w:val="Subst"/>
        </w:rPr>
        <w:br/>
        <w:t xml:space="preserve">        В случае негативного развития ситуации в России или в отдельно взятом регионе страны, способного негативно повлиять на деятельность и доходы Эмитента, последний предполагает принятие ряда мер по антикризисному управлению с целью мобилизации бизнеса и максимального снижения негативного воздействия изменений на свою деятельность. Для ограничения негативного влияния изменения ситуации в стране и регионе Эмитент реализует политику диверсификации клиентской базы. </w:t>
      </w:r>
      <w:r>
        <w:rPr>
          <w:rStyle w:val="Subst"/>
        </w:rPr>
        <w:br/>
      </w:r>
      <w:r>
        <w:rPr>
          <w:rStyle w:val="Subst"/>
        </w:rPr>
        <w:br/>
        <w:t xml:space="preserve">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  </w:t>
      </w:r>
      <w:r>
        <w:rPr>
          <w:rStyle w:val="Subst"/>
        </w:rPr>
        <w:br/>
        <w:t xml:space="preserve">        Риски, связанные с возможными военными конфликтами, введением чрезвычайного положения в РФ или городе Москве</w:t>
      </w:r>
      <w:r w:rsidR="00444FE0">
        <w:rPr>
          <w:rStyle w:val="Subst"/>
        </w:rPr>
        <w:t>,</w:t>
      </w:r>
      <w:r>
        <w:rPr>
          <w:rStyle w:val="Subst"/>
        </w:rPr>
        <w:t xml:space="preserve"> минимальны. Кадровая политика Компании направлена на минимизацию риска, связанного с возникновением ущерба или прекращением деятельности Эмитента в связи с забастовками персонала. Однако в случае наступления указанных событий Эмитент будет действовать в соответствии с действующим законодательством. </w:t>
      </w:r>
      <w:r>
        <w:rPr>
          <w:rStyle w:val="Subst"/>
        </w:rPr>
        <w:br/>
        <w:t xml:space="preserve">        Город Москва является социально стабильным регионом; региональные риски оцениваются на уровне не выше страновых.</w:t>
      </w:r>
      <w:r>
        <w:rPr>
          <w:rStyle w:val="Subst"/>
        </w:rPr>
        <w:br/>
        <w:t xml:space="preserve">        Риск возникновения военных конфликтов, введения чрезвычайного положения и забастовок не скажется существенно на изменении деятельности Эмитента и выполнении обязательств по ценным бумагам.</w:t>
      </w:r>
      <w:r>
        <w:rPr>
          <w:rStyle w:val="Subst"/>
        </w:rPr>
        <w:br/>
      </w:r>
      <w:r>
        <w:rPr>
          <w:rStyle w:val="Subst"/>
        </w:rPr>
        <w:br/>
        <w:t xml:space="preserve">        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нет</w:t>
      </w:r>
      <w:r>
        <w:rPr>
          <w:rStyle w:val="Subst"/>
        </w:rPr>
        <w:br/>
      </w:r>
    </w:p>
    <w:p w14:paraId="53A4F93F" w14:textId="77777777" w:rsidR="00994322" w:rsidRDefault="00994322" w:rsidP="00C324B9">
      <w:pPr>
        <w:ind w:left="200"/>
        <w:jc w:val="both"/>
      </w:pPr>
    </w:p>
    <w:p w14:paraId="06F80248" w14:textId="77777777" w:rsidR="00294767" w:rsidRDefault="00E01351">
      <w:pPr>
        <w:pStyle w:val="2"/>
      </w:pPr>
      <w:bookmarkStart w:id="19" w:name="_Toc133918769"/>
      <w:r>
        <w:lastRenderedPageBreak/>
        <w:t>1.9.3. Финансовые риски</w:t>
      </w:r>
      <w:bookmarkEnd w:id="19"/>
    </w:p>
    <w:p w14:paraId="737C3E73" w14:textId="77777777" w:rsidR="00C324B9" w:rsidRDefault="00E01351" w:rsidP="00C324B9">
      <w:pPr>
        <w:ind w:left="200"/>
        <w:jc w:val="both"/>
        <w:rPr>
          <w:rStyle w:val="Subst"/>
        </w:rPr>
      </w:pPr>
      <w:r>
        <w:rPr>
          <w:rStyle w:val="Subst"/>
        </w:rPr>
        <w:t>Деятельность АО «НПК» подвержена различным финансовым рискам, включая инфляционные риски, риск изменения курсов валют, риск изменения процентной ставки в отношении потоков денежных средств и справедливой стоимости, кредитному риску и риску ликвидности. Общая программа по управлению рисками АО «НПК» учитывает непредсказуемость финансовых рынков и направлена на минимизацию потенциальных неблагоприятных воздействий на финансовые показатели.</w:t>
      </w:r>
      <w:r>
        <w:rPr>
          <w:rStyle w:val="Subst"/>
        </w:rPr>
        <w:br/>
        <w:t xml:space="preserve">        В случае возникновения одного из перечисленных ниже рисков Эмитент предпримет соответствующие меры по минимизации негативных последствий, которые будут зависеть от особенностей создавшейся ситуации в каждом конкретном случае. </w:t>
      </w:r>
      <w:r>
        <w:rPr>
          <w:rStyle w:val="Subst"/>
        </w:rPr>
        <w:br/>
      </w:r>
      <w:r>
        <w:rPr>
          <w:rStyle w:val="Subst"/>
        </w:rPr>
        <w:br/>
        <w:t xml:space="preserve">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 </w:t>
      </w:r>
      <w:r>
        <w:rPr>
          <w:rStyle w:val="Subst"/>
        </w:rPr>
        <w:br/>
      </w:r>
      <w:r>
        <w:rPr>
          <w:rStyle w:val="Subst"/>
        </w:rPr>
        <w:br/>
        <w:t xml:space="preserve">        АО «НПК» привлекает финансирование по текущим рыночным процентным ставкам и не использует какие-либо инструменты хеджирования в целях управления риском изменения процентных ставок. Кредитный портфель Эмитента включает в себя заимствования, полученные под фиксированные процентные ставки.</w:t>
      </w:r>
      <w:r>
        <w:rPr>
          <w:rStyle w:val="Subst"/>
        </w:rPr>
        <w:br/>
      </w:r>
      <w:r>
        <w:rPr>
          <w:rStyle w:val="Subst"/>
        </w:rPr>
        <w:br/>
        <w:t>Фактор возможных колебаний валютных курсов (в том числе курса обмена иностранных валют) не представляет значительного риска для Эмитента в части заемных средств.</w:t>
      </w:r>
      <w:r>
        <w:rPr>
          <w:rStyle w:val="Subst"/>
        </w:rPr>
        <w:br/>
      </w:r>
      <w:r>
        <w:rPr>
          <w:rStyle w:val="Subst"/>
        </w:rPr>
        <w:br/>
        <w:t>Подверженность финансового состояния эмитента, его ликвидности, источников финансирования, результатов деятельности и т.п. изменению валютного курса (валютные риски):</w:t>
      </w:r>
      <w:r>
        <w:rPr>
          <w:rStyle w:val="Subst"/>
        </w:rPr>
        <w:br/>
      </w:r>
      <w:r>
        <w:rPr>
          <w:rStyle w:val="Subst"/>
        </w:rPr>
        <w:br/>
        <w:t xml:space="preserve">        Существенные обязательства Эмитента номинированы в рублях, выплаты по ним не зависят от изменения ставки рефинансирования и доходности по государственным долговым обязательствам, фактор возможных колебаний валютных курсов не представляет значительного риска для Эмитента в части заемных средств. </w:t>
      </w:r>
      <w:r>
        <w:rPr>
          <w:rStyle w:val="Subst"/>
        </w:rPr>
        <w:br/>
        <w:t xml:space="preserve">        Управление риском ликвидности заключается в поддержании достаточного уровня денежных средств и возможности их привлечения посредством доступных кредитных инструментов. АО «НПК» контролирует текущую ликвидность на основе ожидаемых денежных потоков и ожидаемого поступления выручки. Риск ликвидности оценивается путем прогнозирования будущих денежных потоков в момент подписания новых кредитных договоров, а также с помощью процедур бюджетирования. Долгосрочная положительная кредитная история финансирования со многими финансовыми институтами и наличие достаточного количества подвижного состава для его возможного использования в качестве обеспечения по долгосрочным и краткосрочным кредитам свидетельствуют о том, что АО «НПК» в дальнейшем будет способно привлекать заемный капитал.</w:t>
      </w:r>
      <w:r>
        <w:rPr>
          <w:rStyle w:val="Subst"/>
        </w:rPr>
        <w:br/>
        <w:t xml:space="preserve">        Наличие открытых кредитных линий и долгосрочных кредитов дает возможность сбалансировать кредитный портфель и снизить риск влияния неблагоприятных колебаний финансовых рынков. </w:t>
      </w:r>
      <w:r>
        <w:rPr>
          <w:rStyle w:val="Subst"/>
        </w:rPr>
        <w:br/>
      </w:r>
      <w:r>
        <w:rPr>
          <w:rStyle w:val="Subst"/>
        </w:rPr>
        <w:br/>
        <w:t>Предполагаемые действия эмитента на случай отрицательного влияния изменения валютного курса и процентных ставок на деятельность эмитента:</w:t>
      </w:r>
      <w:r>
        <w:rPr>
          <w:rStyle w:val="Subst"/>
        </w:rPr>
        <w:br/>
      </w:r>
      <w:r>
        <w:rPr>
          <w:rStyle w:val="Subst"/>
        </w:rPr>
        <w:br/>
        <w:t xml:space="preserve">        По состоянию на 31.12.2022 года кредитные обязательства, выраженные в иностранной валюте, у АО «НПК» отсутствуют. </w:t>
      </w:r>
      <w:r>
        <w:rPr>
          <w:rStyle w:val="Subst"/>
        </w:rPr>
        <w:br/>
        <w:t xml:space="preserve">        По состоянию на 31.12.2022 года у АО «НПК» есть текущие активы и обязательства, выраженные в иностранной валюте. Это может приводить к возникновению валютных рисков. Вероятность негативных последствий для Компании, связанных с валютными рисками, оценивается как низкая, по причине незначительного веса подобных активов и обязательств в общей балансовой стоимости активов и обязательств АО «НПК». </w:t>
      </w:r>
      <w:r>
        <w:rPr>
          <w:rStyle w:val="Subst"/>
        </w:rPr>
        <w:br/>
        <w:t xml:space="preserve">        Компания не осуществляет хеджирование валютных рисков из-за небольшой доли валюты в обороте и соответственно размер возможных убытков не существенен. Руководство следит за изменением обменного курса и предпринимает необходимые меры по контролю уровня обязательств, выраженных в валюте, отличной от функциональной валюты АО «НПК». </w:t>
      </w:r>
      <w:r>
        <w:rPr>
          <w:rStyle w:val="Subst"/>
        </w:rPr>
        <w:br/>
      </w:r>
      <w:r>
        <w:rPr>
          <w:rStyle w:val="Subst"/>
        </w:rPr>
        <w:br/>
        <w:t>Влияние инфляции на выплаты по ценным бумагам. Критические, по мнению эмитента, значения инфляции, а также предполагаемые действия эмитента по уменьшению указанного риска:</w:t>
      </w:r>
      <w:r>
        <w:rPr>
          <w:rStyle w:val="Subst"/>
        </w:rPr>
        <w:br/>
      </w:r>
      <w:r>
        <w:rPr>
          <w:rStyle w:val="Subst"/>
        </w:rPr>
        <w:br/>
      </w:r>
      <w:r>
        <w:rPr>
          <w:rStyle w:val="Subst"/>
        </w:rPr>
        <w:lastRenderedPageBreak/>
        <w:t xml:space="preserve">        Инфляция в России может привести к увеличению затрат Общества. В то же время, Общество может иметь ограниченные возможности для повышения своих цен для клиентов. Вместе с тем, одной из ключевых целей АО «НПК» является повышение эффективности операционной деятельности, а также концентрация внимания на контроле и сокращении затрат. Общество ведет постоянный мониторинг своих расходов для повышения эффективности своей деятельности.</w:t>
      </w:r>
      <w:r>
        <w:rPr>
          <w:rStyle w:val="Subst"/>
        </w:rPr>
        <w:br/>
        <w:t xml:space="preserve">        Риск влияния инфляции может возникнуть в случае, когда получаемые денежные доходы обесцениваются с точки зрения реальной покупательной способности денег быстрее, чем растут номинально. </w:t>
      </w:r>
      <w:r>
        <w:rPr>
          <w:rStyle w:val="Subst"/>
        </w:rPr>
        <w:br/>
        <w:t xml:space="preserve">        Состояние российской экономики характеризуется высокими темпами инфляции. Ниже приведены данные о годовых индексах инфляции за период 2018-2022 гг. </w:t>
      </w:r>
      <w:r>
        <w:rPr>
          <w:rStyle w:val="Subst"/>
        </w:rPr>
        <w:br/>
      </w:r>
    </w:p>
    <w:tbl>
      <w:tblPr>
        <w:tblStyle w:val="a5"/>
        <w:tblW w:w="0" w:type="auto"/>
        <w:tblInd w:w="392" w:type="dxa"/>
        <w:tblLook w:val="04A0" w:firstRow="1" w:lastRow="0" w:firstColumn="1" w:lastColumn="0" w:noHBand="0" w:noVBand="1"/>
      </w:tblPr>
      <w:tblGrid>
        <w:gridCol w:w="3572"/>
        <w:gridCol w:w="3969"/>
      </w:tblGrid>
      <w:tr w:rsidR="00C324B9" w14:paraId="21D2EBEE" w14:textId="77777777" w:rsidTr="00E342F3">
        <w:trPr>
          <w:trHeight w:val="557"/>
        </w:trPr>
        <w:tc>
          <w:tcPr>
            <w:tcW w:w="3572" w:type="dxa"/>
          </w:tcPr>
          <w:p w14:paraId="0074A7C2" w14:textId="77777777" w:rsidR="00C324B9" w:rsidRDefault="00C324B9" w:rsidP="00E342F3">
            <w:pPr>
              <w:rPr>
                <w:rStyle w:val="Subst"/>
              </w:rPr>
            </w:pPr>
            <w:r w:rsidRPr="0077170E">
              <w:rPr>
                <w:rStyle w:val="Subst"/>
              </w:rPr>
              <w:t>Период</w:t>
            </w:r>
            <w:r w:rsidRPr="0077170E">
              <w:rPr>
                <w:rStyle w:val="Subst"/>
              </w:rPr>
              <w:tab/>
            </w:r>
          </w:p>
          <w:p w14:paraId="16547933" w14:textId="77777777" w:rsidR="00C324B9" w:rsidRDefault="00C324B9" w:rsidP="00E342F3"/>
        </w:tc>
        <w:tc>
          <w:tcPr>
            <w:tcW w:w="3969" w:type="dxa"/>
            <w:tcBorders>
              <w:bottom w:val="single" w:sz="4" w:space="0" w:color="auto"/>
            </w:tcBorders>
          </w:tcPr>
          <w:p w14:paraId="41BA4417" w14:textId="77777777" w:rsidR="00C324B9" w:rsidRDefault="00C324B9" w:rsidP="00E342F3">
            <w:r w:rsidRPr="0077170E">
              <w:rPr>
                <w:rStyle w:val="Subst"/>
              </w:rPr>
              <w:t>Инфляция за период (декабрь к декабрю предыдущего года)</w:t>
            </w:r>
          </w:p>
        </w:tc>
      </w:tr>
      <w:tr w:rsidR="00C324B9" w14:paraId="53A9C2AC" w14:textId="77777777" w:rsidTr="00E342F3">
        <w:trPr>
          <w:trHeight w:val="271"/>
        </w:trPr>
        <w:tc>
          <w:tcPr>
            <w:tcW w:w="3572" w:type="dxa"/>
          </w:tcPr>
          <w:p w14:paraId="33B1C2DB" w14:textId="77777777" w:rsidR="00C324B9" w:rsidRDefault="00C324B9" w:rsidP="00E342F3">
            <w:pPr>
              <w:rPr>
                <w:rStyle w:val="Subst"/>
              </w:rPr>
            </w:pPr>
            <w:r>
              <w:rPr>
                <w:rStyle w:val="Subst"/>
              </w:rPr>
              <w:t xml:space="preserve">2022 год       </w:t>
            </w:r>
          </w:p>
        </w:tc>
        <w:tc>
          <w:tcPr>
            <w:tcW w:w="3969" w:type="dxa"/>
          </w:tcPr>
          <w:p w14:paraId="458D2AA5" w14:textId="77777777" w:rsidR="00C324B9" w:rsidRDefault="00C324B9" w:rsidP="00E342F3">
            <w:pPr>
              <w:jc w:val="center"/>
              <w:rPr>
                <w:rStyle w:val="Subst"/>
              </w:rPr>
            </w:pPr>
            <w:r w:rsidRPr="00B628E2">
              <w:rPr>
                <w:rStyle w:val="Subst"/>
              </w:rPr>
              <w:t>11,9%</w:t>
            </w:r>
          </w:p>
        </w:tc>
      </w:tr>
      <w:tr w:rsidR="00C324B9" w14:paraId="7256C4CC" w14:textId="77777777" w:rsidTr="00E342F3">
        <w:trPr>
          <w:trHeight w:val="271"/>
        </w:trPr>
        <w:tc>
          <w:tcPr>
            <w:tcW w:w="3572" w:type="dxa"/>
          </w:tcPr>
          <w:p w14:paraId="329E2C4F" w14:textId="77777777" w:rsidR="00C324B9" w:rsidRDefault="00C324B9" w:rsidP="00E342F3">
            <w:pPr>
              <w:rPr>
                <w:rStyle w:val="Subst"/>
              </w:rPr>
            </w:pPr>
            <w:r>
              <w:rPr>
                <w:rStyle w:val="Subst"/>
              </w:rPr>
              <w:t xml:space="preserve">2021 год       </w:t>
            </w:r>
          </w:p>
        </w:tc>
        <w:tc>
          <w:tcPr>
            <w:tcW w:w="3969" w:type="dxa"/>
          </w:tcPr>
          <w:p w14:paraId="791694C8" w14:textId="77777777" w:rsidR="00C324B9" w:rsidRDefault="00C324B9" w:rsidP="00E342F3">
            <w:pPr>
              <w:jc w:val="center"/>
              <w:rPr>
                <w:rStyle w:val="Subst"/>
              </w:rPr>
            </w:pPr>
            <w:r>
              <w:rPr>
                <w:rStyle w:val="Subst"/>
              </w:rPr>
              <w:t>8,4%</w:t>
            </w:r>
          </w:p>
        </w:tc>
      </w:tr>
      <w:tr w:rsidR="00C324B9" w14:paraId="1AA14B27" w14:textId="77777777" w:rsidTr="00E342F3">
        <w:trPr>
          <w:trHeight w:val="271"/>
        </w:trPr>
        <w:tc>
          <w:tcPr>
            <w:tcW w:w="3572" w:type="dxa"/>
          </w:tcPr>
          <w:p w14:paraId="05C8C7F7" w14:textId="77777777" w:rsidR="00C324B9" w:rsidRPr="0077170E" w:rsidRDefault="00C324B9" w:rsidP="00E342F3">
            <w:pPr>
              <w:rPr>
                <w:rStyle w:val="Subst"/>
              </w:rPr>
            </w:pPr>
            <w:r>
              <w:rPr>
                <w:rStyle w:val="Subst"/>
              </w:rPr>
              <w:t>2020 год</w:t>
            </w:r>
          </w:p>
        </w:tc>
        <w:tc>
          <w:tcPr>
            <w:tcW w:w="3969" w:type="dxa"/>
          </w:tcPr>
          <w:p w14:paraId="02ABF9F8" w14:textId="77777777" w:rsidR="00C324B9" w:rsidRPr="006E0112" w:rsidRDefault="00C324B9" w:rsidP="00E342F3">
            <w:pPr>
              <w:jc w:val="center"/>
              <w:rPr>
                <w:rStyle w:val="Subst"/>
              </w:rPr>
            </w:pPr>
            <w:r>
              <w:rPr>
                <w:rStyle w:val="Subst"/>
              </w:rPr>
              <w:t>4,9%</w:t>
            </w:r>
          </w:p>
        </w:tc>
      </w:tr>
      <w:tr w:rsidR="00C324B9" w14:paraId="071B5CAE" w14:textId="77777777" w:rsidTr="00E342F3">
        <w:trPr>
          <w:trHeight w:val="271"/>
        </w:trPr>
        <w:tc>
          <w:tcPr>
            <w:tcW w:w="3572" w:type="dxa"/>
          </w:tcPr>
          <w:p w14:paraId="38CCE984" w14:textId="77777777" w:rsidR="00C324B9" w:rsidRPr="0077170E" w:rsidRDefault="00C324B9" w:rsidP="00E342F3">
            <w:pPr>
              <w:rPr>
                <w:rStyle w:val="Subst"/>
              </w:rPr>
            </w:pPr>
            <w:r w:rsidRPr="0077170E">
              <w:rPr>
                <w:rStyle w:val="Subst"/>
              </w:rPr>
              <w:t xml:space="preserve">2019 год                        </w:t>
            </w:r>
          </w:p>
        </w:tc>
        <w:tc>
          <w:tcPr>
            <w:tcW w:w="3969" w:type="dxa"/>
          </w:tcPr>
          <w:p w14:paraId="28274F56" w14:textId="77777777" w:rsidR="00C324B9" w:rsidRPr="0077170E" w:rsidRDefault="00C324B9" w:rsidP="00E342F3">
            <w:pPr>
              <w:jc w:val="center"/>
              <w:rPr>
                <w:rStyle w:val="Subst"/>
              </w:rPr>
            </w:pPr>
            <w:r w:rsidRPr="006E0112">
              <w:rPr>
                <w:rStyle w:val="Subst"/>
              </w:rPr>
              <w:t>3,0%</w:t>
            </w:r>
          </w:p>
        </w:tc>
      </w:tr>
      <w:tr w:rsidR="00C324B9" w14:paraId="7060AF7E" w14:textId="77777777" w:rsidTr="00E342F3">
        <w:trPr>
          <w:trHeight w:val="222"/>
        </w:trPr>
        <w:tc>
          <w:tcPr>
            <w:tcW w:w="3572" w:type="dxa"/>
          </w:tcPr>
          <w:p w14:paraId="3FBF28CC" w14:textId="77777777" w:rsidR="00C324B9" w:rsidRPr="0077170E" w:rsidRDefault="00C324B9" w:rsidP="00E342F3">
            <w:pPr>
              <w:rPr>
                <w:rStyle w:val="Subst"/>
              </w:rPr>
            </w:pPr>
            <w:r w:rsidRPr="0077170E">
              <w:rPr>
                <w:rStyle w:val="Subst"/>
              </w:rPr>
              <w:t xml:space="preserve">2018 год                        </w:t>
            </w:r>
          </w:p>
        </w:tc>
        <w:tc>
          <w:tcPr>
            <w:tcW w:w="3969" w:type="dxa"/>
          </w:tcPr>
          <w:p w14:paraId="238CECAF" w14:textId="77777777" w:rsidR="00C324B9" w:rsidRPr="006E0112" w:rsidRDefault="00C324B9" w:rsidP="00E342F3">
            <w:pPr>
              <w:jc w:val="center"/>
              <w:rPr>
                <w:rStyle w:val="Subst"/>
              </w:rPr>
            </w:pPr>
            <w:r w:rsidRPr="0077170E">
              <w:rPr>
                <w:rStyle w:val="Subst"/>
              </w:rPr>
              <w:t>4,3%</w:t>
            </w:r>
          </w:p>
        </w:tc>
      </w:tr>
    </w:tbl>
    <w:p w14:paraId="48395E46" w14:textId="289583AD" w:rsidR="00294767" w:rsidRDefault="00E01351" w:rsidP="00C324B9">
      <w:pPr>
        <w:ind w:left="200"/>
        <w:jc w:val="both"/>
      </w:pPr>
      <w:r>
        <w:rPr>
          <w:rStyle w:val="Subst"/>
        </w:rPr>
        <w:br/>
        <w:t xml:space="preserve">        Критические значения инфляции, при которых у него могут возникнуть трудности с исполнением своих обязательств по ценным бумагам, составляют 40% и более, что превышает прогнозируемый уровень. Вероятность возникновения критического уровня инфляции оценивается Эмитентом как низкая.</w:t>
      </w:r>
      <w:r>
        <w:rPr>
          <w:rStyle w:val="Subst"/>
        </w:rPr>
        <w:br/>
      </w:r>
      <w:r>
        <w:rPr>
          <w:rStyle w:val="Subst"/>
        </w:rPr>
        <w:br/>
        <w:t xml:space="preserve">        Показатели финансовой отчетности эмитента наиболее подверженные изменению в результате влияния указанных финансовых рисков. В том числе риски, вероятность их возникновения и характер изменений в отчетности.</w:t>
      </w:r>
      <w:r>
        <w:rPr>
          <w:rStyle w:val="Subst"/>
        </w:rPr>
        <w:br/>
        <w:t xml:space="preserve">        Вышеперечисленные финансовые риски в наибольшей степени могут влиять на доходы от реализации, затраты, финансовые (монетарные) статьи баланса, в частности займы и кредиты и средства на счетах Эмитента. Вероятность негативного влияния указанных рисков на результаты деятельности Эмитента оценивается как умеренная. Характер изменений: уменьшение прибыли, увеличение расходов, связанных с обслуживанием задолженности по кредитам и займам полученным и выполнением обязательств по </w:t>
      </w:r>
      <w:r w:rsidR="00E17301" w:rsidRPr="00E17301">
        <w:rPr>
          <w:b/>
          <w:bCs/>
          <w:i/>
          <w:iCs/>
        </w:rPr>
        <w:t>договорам аренды</w:t>
      </w:r>
      <w:r>
        <w:rPr>
          <w:rStyle w:val="Subst"/>
        </w:rPr>
        <w:t>.</w:t>
      </w:r>
      <w:r>
        <w:rPr>
          <w:rStyle w:val="Subst"/>
        </w:rPr>
        <w:br/>
      </w:r>
    </w:p>
    <w:p w14:paraId="5BE273AD" w14:textId="77777777" w:rsidR="00294767" w:rsidRDefault="00E01351">
      <w:pPr>
        <w:pStyle w:val="2"/>
      </w:pPr>
      <w:bookmarkStart w:id="20" w:name="_Toc133918770"/>
      <w:r>
        <w:t>1.9.4. Правовые риски</w:t>
      </w:r>
      <w:bookmarkEnd w:id="20"/>
    </w:p>
    <w:p w14:paraId="24446879" w14:textId="53292850" w:rsidR="00084CA0" w:rsidRDefault="00E01351" w:rsidP="00470023">
      <w:pPr>
        <w:ind w:left="200"/>
        <w:jc w:val="both"/>
        <w:rPr>
          <w:rStyle w:val="Subst"/>
        </w:rPr>
      </w:pPr>
      <w:r>
        <w:rPr>
          <w:rStyle w:val="Subst"/>
        </w:rPr>
        <w:t>Правовые риски, связанные с деятельностью Общества (отдельно для внутреннего и внешнего рынков)</w:t>
      </w:r>
      <w:r>
        <w:rPr>
          <w:rStyle w:val="Subst"/>
        </w:rPr>
        <w:br/>
      </w:r>
      <w:r>
        <w:rPr>
          <w:rStyle w:val="Subst"/>
        </w:rPr>
        <w:br/>
        <w:t>Внутренний рынок:</w:t>
      </w:r>
      <w:r>
        <w:rPr>
          <w:rStyle w:val="Subst"/>
        </w:rPr>
        <w:br/>
      </w:r>
      <w:r>
        <w:rPr>
          <w:rStyle w:val="Subst"/>
        </w:rPr>
        <w:br/>
        <w:t xml:space="preserve">        Риски, связанные с деятельностью Компании, характерны для большей части субъектов предпринимательской деятельности. Российское гражданское, налоговое, таможенное, валютное законодательство и аналогичное законодательство стран – членов ЕАЭС, подвержено частым изменениям. Кроме того, интерпретация положений источников права Российской Федерации и источников права этих стран зачастую неоднозначна и может стать причиной возникновения претензий со стороны соответствующих государственных органов.</w:t>
      </w:r>
      <w:r>
        <w:rPr>
          <w:rStyle w:val="Subst"/>
        </w:rPr>
        <w:br/>
        <w:t xml:space="preserve">        Недостатки российской правовой системы и российского законодательства приводят к созданию неопределенности в области коммерческой деятельности, но не всегда являются существенными.</w:t>
      </w:r>
      <w:r>
        <w:rPr>
          <w:rStyle w:val="Subst"/>
        </w:rPr>
        <w:br/>
        <w:t xml:space="preserve">        К таковым (недостаткам) следует отнести:</w:t>
      </w:r>
      <w:r>
        <w:rPr>
          <w:rStyle w:val="Subst"/>
        </w:rPr>
        <w:br/>
        <w:t xml:space="preserve">        - быстрое развитие российской правовой системы и, как результат, встречающееся несоответствие между законами и другими актами Правительства, министерств и местных органов. Кроме того, ряд основополагающих российских законов был введен в действие в недавнее время, и зачастую отсутствуют подзаконные акты, призванные обеспечивать применение отдельных законов;</w:t>
      </w:r>
      <w:r>
        <w:rPr>
          <w:rStyle w:val="Subst"/>
        </w:rPr>
        <w:br/>
        <w:t xml:space="preserve">        - непоследовательность судебных инстанций в реализации принципа единообразия судебной и арбитражной практики и относительная степень неопытности судей и судов в толковании некоторых норм российского законодательства.</w:t>
      </w:r>
      <w:r>
        <w:rPr>
          <w:rStyle w:val="Subst"/>
        </w:rPr>
        <w:br/>
        <w:t xml:space="preserve">АО «НПК» строит свою деятельность на соответствии законодательству, отслеживает и своевременно реагирует на изменения в них, а также стремится к конструктивному диалогу с </w:t>
      </w:r>
      <w:r>
        <w:rPr>
          <w:rStyle w:val="Subst"/>
        </w:rPr>
        <w:lastRenderedPageBreak/>
        <w:t>регулирующими органами в вопросах интерпретации норм законодательства.</w:t>
      </w:r>
      <w:r>
        <w:rPr>
          <w:rStyle w:val="Subst"/>
        </w:rPr>
        <w:br/>
      </w:r>
      <w:r>
        <w:rPr>
          <w:rStyle w:val="Subst"/>
        </w:rPr>
        <w:br/>
        <w:t>Внешний рынок:</w:t>
      </w:r>
      <w:r>
        <w:rPr>
          <w:rStyle w:val="Subst"/>
        </w:rPr>
        <w:br/>
      </w:r>
      <w:r>
        <w:rPr>
          <w:rStyle w:val="Subst"/>
        </w:rPr>
        <w:br/>
        <w:t xml:space="preserve">        Изменение законодательства в странах, где АО «НПК» осуществляет свою деятельность, </w:t>
      </w:r>
      <w:r w:rsidR="00CB6F65">
        <w:rPr>
          <w:rStyle w:val="Subst"/>
        </w:rPr>
        <w:t xml:space="preserve">негативно </w:t>
      </w:r>
      <w:r w:rsidR="004135A6" w:rsidRPr="00CB6F65">
        <w:rPr>
          <w:rStyle w:val="Subst"/>
        </w:rPr>
        <w:t>сказалось</w:t>
      </w:r>
      <w:r>
        <w:rPr>
          <w:rStyle w:val="Subst"/>
        </w:rPr>
        <w:t xml:space="preserve"> на деятельности Общества. Так, например, введение санкций или каких-либо ограничений со стороны правительства Украины и других стран, принятие мер по принудительному изъятию находящегося на их территории подвижного состава, </w:t>
      </w:r>
      <w:r w:rsidR="004135A6" w:rsidRPr="00CB6F65">
        <w:rPr>
          <w:rStyle w:val="Subst"/>
        </w:rPr>
        <w:t>привело</w:t>
      </w:r>
      <w:r w:rsidR="004135A6">
        <w:rPr>
          <w:rStyle w:val="Subst"/>
        </w:rPr>
        <w:t xml:space="preserve"> </w:t>
      </w:r>
      <w:r>
        <w:rPr>
          <w:rStyle w:val="Subst"/>
        </w:rPr>
        <w:t xml:space="preserve">к ограничению или невозможности осуществления перевозки грузов по территории данных государств, потере части подвижного состава, его повреждению, и как следствие, к затратам на ремонт, что может негативно сказаться на деятельности Компании в целом. </w:t>
      </w:r>
      <w:r>
        <w:rPr>
          <w:rStyle w:val="Subst"/>
        </w:rPr>
        <w:br/>
        <w:t xml:space="preserve">        АО «НПК» постоянно осуществляет мониторинг изменений в законодательстве стран, на территории которых Компания оказывает услуги по организации перевозок грузов.        Компания предпримет все необходимые меры по соблюдению таких норм и минимизации возможного негативного эффекта от изменений в законодательстве, в том числе путем согласования с клиентами и включения в договоры с ними условий, учитывающих права и законные интересы Общества. Учитывая соотношение объемов услуг, оказываемых АО «НПК» на территории других государств, и услуг, оказываемых на территории Российской Федерации, данный риск можно охарактеризовать как невысокий. </w:t>
      </w:r>
      <w:r>
        <w:rPr>
          <w:rStyle w:val="Subst"/>
        </w:rPr>
        <w:br/>
      </w:r>
      <w:r>
        <w:rPr>
          <w:rStyle w:val="Subst"/>
        </w:rPr>
        <w:br/>
        <w:t>Риски, связанные с изменением валютного регулирования</w:t>
      </w:r>
      <w:r>
        <w:rPr>
          <w:rStyle w:val="Subst"/>
        </w:rPr>
        <w:br/>
      </w:r>
      <w:r>
        <w:rPr>
          <w:rStyle w:val="Subst"/>
        </w:rPr>
        <w:br/>
        <w:t>Внутренний рынок:</w:t>
      </w:r>
      <w:r>
        <w:rPr>
          <w:rStyle w:val="Subst"/>
        </w:rPr>
        <w:br/>
        <w:t xml:space="preserve">        В настоящее время регулирование валютных отношений осуществляется на основании Федерального закона от 10 декабря 2003 г. № 173-ФЗ «О валютном регулировании и валютном контроле» с изменениями и дополнениями.</w:t>
      </w:r>
      <w:r>
        <w:rPr>
          <w:rStyle w:val="Subst"/>
        </w:rPr>
        <w:br/>
        <w:t xml:space="preserve">        Настоящий Федеральный закон устанавливает правовые основы и принципы валютного регулирования и валютного контроля, а также определяет права и обязанности резидентов и нерезидентов в отношении владения, пользования и распоряжения валютными ценностями, права и обязанности нерезидентов в отношении владения, пользования, распоряжения валютой Российской Федерации, внутренними ценными бумагами, права и обязанности органов и агентов валютного контроля.</w:t>
      </w:r>
      <w:r>
        <w:rPr>
          <w:rStyle w:val="Subst"/>
        </w:rPr>
        <w:br/>
        <w:t xml:space="preserve">        Существует риск наступления негативных последствий в случае введения валютных ограничений (санкции США, Европейского Союза, Великобритании и ряда других стран и прочее) государствами, с резидентами которых Компания осуществляет расчетные операции. В 2022 году указанными странами было введено значительное количество таких ограничений и предполагается, что в дальнейшем эта тенденция продолжится. Вместе с тем, наиболее значимые иностранные контрагенты АО «НПК» являются резидентами государств с устоявшейся и относительно либеральной системой валютного регулирования, риск изменения которой маловероятен.</w:t>
      </w:r>
      <w:r>
        <w:rPr>
          <w:rStyle w:val="Subst"/>
        </w:rPr>
        <w:br/>
        <w:t xml:space="preserve">        Федеральным законом № 173-ФЗ в редакции от 27.12.2019, устанавливаются требования в части репатриации валютной выручки и проведения валютных операций, а также изменяются некоторые нормы об административной ответственности за нарушения валютного законодательства. </w:t>
      </w:r>
      <w:r>
        <w:rPr>
          <w:rStyle w:val="Subst"/>
        </w:rPr>
        <w:br/>
        <w:t xml:space="preserve">       Федеральным законом от 28.06.2021 N 223-ФЗ "О внесении изменений в Федеральный закон "О валютном регулировании и валютном контроле" также внесен ряд изменений. </w:t>
      </w:r>
      <w:r>
        <w:rPr>
          <w:rStyle w:val="Subst"/>
        </w:rPr>
        <w:br/>
        <w:t>Норма об отмене требования о репатриации не будет распространяться на внешнеторговые договоры (контракты), заключенные между резидентами и нерезидентами, предусматривающие передачу товаров, сумма обязательств по которым определена в иностранной валюте и (или) условиями которых предусмотрена оплата в иностранной валюте, и классифицируемые в соответствии с ТН ВЭД ЕАЭС в позициях, относящихся к товарам сырьевого экспорта.</w:t>
      </w:r>
      <w:r>
        <w:rPr>
          <w:rStyle w:val="Subst"/>
        </w:rPr>
        <w:br/>
        <w:t xml:space="preserve">       Предусматривается возможность зачислять экспортную валютную выручку на счета экспортеров, открытые в банках за пределами территории РФ.</w:t>
      </w:r>
      <w:r>
        <w:rPr>
          <w:rStyle w:val="Subst"/>
        </w:rPr>
        <w:br/>
        <w:t xml:space="preserve">       Закрепляется полномочие Банка России по определению порядка представления резидентами, являющимися стороной внешнеторгового договора (контракта), предусматривающего передачу нерезидентам товаров, выполнение для них работ, оказание им услуг, передачу им информации и результатов интеллектуальной деятельности, в том числе исключительных прав на них, в Центральный банк Российской Федерации информации о получении ими денежных средств, причитающихся в соответствии с условиями внешнеторговых договоров (контрактов), либо об ином исполнении или прекращении обязательств нерезидентов по внешнеторговым договорам (контрактам) в случаях и способами, которые разрешены законодательством Российской Федерации, а также об активах и обязательствах, номинированных и (или) подлежащих оплате такими резидентами в иностранной валюте в пользу нерезидентов. </w:t>
      </w:r>
      <w:r>
        <w:rPr>
          <w:rStyle w:val="Subst"/>
        </w:rPr>
        <w:br/>
      </w:r>
      <w:r w:rsidR="00C324B9">
        <w:rPr>
          <w:rStyle w:val="Subst"/>
        </w:rPr>
        <w:t xml:space="preserve">       </w:t>
      </w:r>
      <w:r>
        <w:rPr>
          <w:rStyle w:val="Subst"/>
        </w:rPr>
        <w:t xml:space="preserve">Перечень резидентов, обязанных представлять вышеуказанную информацию размещается </w:t>
      </w:r>
      <w:r>
        <w:rPr>
          <w:rStyle w:val="Subst"/>
        </w:rPr>
        <w:lastRenderedPageBreak/>
        <w:t xml:space="preserve">на официальном сайте Банка России. Закон вступил в силу с 1 июля 2021 года. </w:t>
      </w:r>
      <w:r>
        <w:rPr>
          <w:rStyle w:val="Subst"/>
        </w:rPr>
        <w:br/>
        <w:t xml:space="preserve">Указом Президента Правительственной комиссии по контролю за осуществлением иностранных инвестиций в Российской Федерации предоставлены полномочия по введению ограничений на зачисление резидентами иностранной валюты на свои счета (вклады), открытые в банках и иных финансовых организациях за пределами Российской Федерации, а также на осуществление переводов денежных средств без открытия банковского счета. </w:t>
      </w:r>
      <w:r>
        <w:rPr>
          <w:rStyle w:val="Subst"/>
        </w:rPr>
        <w:br/>
      </w:r>
      <w:r w:rsidR="00C324B9">
        <w:rPr>
          <w:rStyle w:val="Subst"/>
        </w:rPr>
        <w:t xml:space="preserve">       </w:t>
      </w:r>
      <w:r>
        <w:rPr>
          <w:rStyle w:val="Subst"/>
        </w:rPr>
        <w:t>Определены условия, при исполнении которых обязательства перед владельцами иностранных облигаций, выпущенных организациями и лицами, осуществляющими права по еврооблигациям признаются исполненными надлежащим образом.</w:t>
      </w:r>
      <w:r>
        <w:rPr>
          <w:rStyle w:val="Subst"/>
        </w:rPr>
        <w:br/>
      </w:r>
      <w:r w:rsidR="00C324B9">
        <w:rPr>
          <w:rStyle w:val="Subst"/>
        </w:rPr>
        <w:t xml:space="preserve">      </w:t>
      </w:r>
      <w:r>
        <w:rPr>
          <w:rStyle w:val="Subst"/>
        </w:rPr>
        <w:t xml:space="preserve"> В связи с незначительной практикой применения новых положений валютного законодательства, существует риск его нарушений и предъявления к Обществу соответствующих претензий и применения установленных законом мер ответственности.</w:t>
      </w:r>
      <w:r>
        <w:rPr>
          <w:rStyle w:val="Subst"/>
        </w:rPr>
        <w:br/>
        <w:t xml:space="preserve">        Общество полагает, что риск, связанный с негативным влиянием валютного регулирования, не может оказать существенного влияния на деятельность Общества. Компания строит свою деятельность на четком соответствии валютному законодательству, отслеживает изменения и своевременно реагирует на них.</w:t>
      </w:r>
      <w:r>
        <w:rPr>
          <w:rStyle w:val="Subst"/>
        </w:rPr>
        <w:br/>
      </w:r>
      <w:r>
        <w:rPr>
          <w:rStyle w:val="Subst"/>
        </w:rPr>
        <w:br/>
        <w:t>Внешний рынок:</w:t>
      </w:r>
      <w:r>
        <w:rPr>
          <w:rStyle w:val="Subst"/>
        </w:rPr>
        <w:br/>
      </w:r>
      <w:r w:rsidR="00C324B9">
        <w:rPr>
          <w:rStyle w:val="Subst"/>
        </w:rPr>
        <w:t xml:space="preserve">  </w:t>
      </w:r>
      <w:r>
        <w:rPr>
          <w:rStyle w:val="Subst"/>
        </w:rPr>
        <w:t xml:space="preserve">     В связи с введением ограничительных мер в отношении граждан РФ и российских юридических лиц российских резидентов - участников внешнеэкономической деятельности, с начала 2022 года  обязали продавать в течение 3 дней с даты поступления 80% валютной выручки, поступившей на основании внешнеторговых контрактов (Указ Президента от 28.02.2022 № 79). Далее, в данный Указ Президента были внесены изменения, результатом которых стало обязательство продавать 50% валютной выручки в течение 120 дней с даты зачисления. </w:t>
      </w:r>
      <w:r>
        <w:rPr>
          <w:rStyle w:val="Subst"/>
        </w:rPr>
        <w:br/>
      </w:r>
      <w:r w:rsidR="00C324B9">
        <w:rPr>
          <w:rStyle w:val="Subst"/>
        </w:rPr>
        <w:t xml:space="preserve">       </w:t>
      </w:r>
      <w:r>
        <w:rPr>
          <w:rStyle w:val="Subst"/>
        </w:rPr>
        <w:t xml:space="preserve">Размер обязательной продажи резидентами - участниками внешнеэкономической деятельности иностранной валюты в соответствии с Указом Президента Российской Федерации от 28 февраля 2022 г. N 79 "О применении специальных экономических мер в связи с недружественными действиями Соединенных Штатов Америки и примкнувших к ним иностранных государств и международных организаций" определялся Правительственной комиссии по контролю за осуществлением иностранных инвестиций в Российской Федерации. </w:t>
      </w:r>
      <w:r>
        <w:rPr>
          <w:rStyle w:val="Subst"/>
        </w:rPr>
        <w:br/>
      </w:r>
      <w:r w:rsidR="00C324B9">
        <w:rPr>
          <w:rStyle w:val="Subst"/>
        </w:rPr>
        <w:t xml:space="preserve">       </w:t>
      </w:r>
      <w:r>
        <w:rPr>
          <w:rStyle w:val="Subst"/>
        </w:rPr>
        <w:t xml:space="preserve">С марта 2022 года были введены ряд ограничений на оборот иностранной валюты и денежных инструментов, в том числе, запрет на перечисление дивидендов и прибыли обществ в адрес нерезидентов (впоследствии стало возможным перечисление прибыли обществ с ограниченной ответственностью и некоторых иных форм юридических лиц, за исключением акционерных обществ, но использование нерезидентами таких перечислений стало возможно только с учетом соблюдения определенных условий) и пр. (Указ Президента РФ от 01.03.2022 № 81, с учетом изменений). </w:t>
      </w:r>
      <w:r>
        <w:rPr>
          <w:rStyle w:val="Subst"/>
        </w:rPr>
        <w:br/>
      </w:r>
      <w:r w:rsidR="00C324B9">
        <w:rPr>
          <w:rStyle w:val="Subst"/>
        </w:rPr>
        <w:t xml:space="preserve">       </w:t>
      </w:r>
      <w:r>
        <w:rPr>
          <w:rStyle w:val="Subst"/>
        </w:rPr>
        <w:t xml:space="preserve">В июне 2022 года обязательная продажа резидентам-участникам внешнеэкономической деятельности была отменена путем установления обязательной продажи иностранной валюты в размере 0 % (процентов) от суммы валютной выручки, зачисленной на счета в уполномоченных банках на основании внешнеэкономических контрактах (Указ Президента от 09.06.2022 № 360).  </w:t>
      </w:r>
      <w:r>
        <w:rPr>
          <w:rStyle w:val="Subst"/>
        </w:rPr>
        <w:br/>
      </w:r>
      <w:r w:rsidR="00172F6F">
        <w:rPr>
          <w:rStyle w:val="Subst"/>
        </w:rPr>
        <w:t xml:space="preserve">       </w:t>
      </w:r>
      <w:r>
        <w:rPr>
          <w:rStyle w:val="Subst"/>
        </w:rPr>
        <w:t xml:space="preserve">Правительственная комиссия разрешила экспортерам получать валютную выручку по внешнеторговым контрактам от нерезидентов на счета за рубежом. </w:t>
      </w:r>
      <w:r>
        <w:rPr>
          <w:rStyle w:val="Subst"/>
        </w:rPr>
        <w:br/>
      </w:r>
      <w:r w:rsidR="00172F6F">
        <w:rPr>
          <w:rStyle w:val="Subst"/>
        </w:rPr>
        <w:t xml:space="preserve">       </w:t>
      </w:r>
      <w:r>
        <w:rPr>
          <w:rStyle w:val="Subst"/>
        </w:rPr>
        <w:t>С 19 июля 2022 года отменили ограничение 30 %-ного порога по авансовым платежам резидентов-участников ВЭД в пользу нерезидентов по контрактам на импорт работ/услуг/результатов интеллектуальной деятельности и прав на них.</w:t>
      </w:r>
      <w:r>
        <w:rPr>
          <w:rStyle w:val="Subst"/>
        </w:rPr>
        <w:br/>
      </w:r>
      <w:r>
        <w:rPr>
          <w:rStyle w:val="Subst"/>
        </w:rPr>
        <w:br/>
      </w:r>
      <w:r w:rsidR="00172F6F">
        <w:rPr>
          <w:rStyle w:val="Subst"/>
        </w:rPr>
        <w:t xml:space="preserve">       </w:t>
      </w:r>
      <w:r>
        <w:rPr>
          <w:rStyle w:val="Subst"/>
        </w:rPr>
        <w:t>В 2022 году Компания снизила валютную выручку до минимума, соответствующие валютные риски у Общества практически отсутствуют.</w:t>
      </w:r>
      <w:r>
        <w:rPr>
          <w:rStyle w:val="Subst"/>
        </w:rPr>
        <w:br/>
      </w:r>
      <w:r w:rsidR="00172F6F">
        <w:rPr>
          <w:rStyle w:val="Subst"/>
        </w:rPr>
        <w:t xml:space="preserve">      </w:t>
      </w:r>
      <w:r>
        <w:rPr>
          <w:rStyle w:val="Subst"/>
        </w:rPr>
        <w:t xml:space="preserve"> При осуществлении внешнеэкономической деятельности АО «НПК» не получает денежные средства на счета, открытые за пределами Российской Федерации, в связи с чем Общество подвержено минимальным рискам изменения валютного законодательства. </w:t>
      </w:r>
      <w:r>
        <w:rPr>
          <w:rStyle w:val="Subst"/>
        </w:rPr>
        <w:br/>
      </w:r>
      <w:r>
        <w:rPr>
          <w:rStyle w:val="Subst"/>
        </w:rPr>
        <w:br/>
      </w:r>
    </w:p>
    <w:p w14:paraId="62FAAEAF" w14:textId="77777777" w:rsidR="00084CA0" w:rsidRDefault="00084CA0" w:rsidP="00470023">
      <w:pPr>
        <w:ind w:left="200"/>
        <w:jc w:val="both"/>
        <w:rPr>
          <w:rStyle w:val="Subst"/>
        </w:rPr>
      </w:pPr>
    </w:p>
    <w:p w14:paraId="197CA24B" w14:textId="74FE8329" w:rsidR="00470023" w:rsidRPr="00470023" w:rsidRDefault="00E01351" w:rsidP="00470023">
      <w:pPr>
        <w:ind w:left="200"/>
        <w:jc w:val="both"/>
        <w:rPr>
          <w:rStyle w:val="Subst"/>
        </w:rPr>
      </w:pPr>
      <w:r>
        <w:rPr>
          <w:rStyle w:val="Subst"/>
        </w:rPr>
        <w:br/>
      </w:r>
      <w:r w:rsidR="00470023" w:rsidRPr="00470023">
        <w:rPr>
          <w:rStyle w:val="Subst"/>
        </w:rPr>
        <w:t>Риски, связанные с изменением налогового законодательства</w:t>
      </w:r>
    </w:p>
    <w:p w14:paraId="5D6AE70B" w14:textId="77777777" w:rsidR="00470023" w:rsidRPr="00470023" w:rsidRDefault="00470023" w:rsidP="00470023">
      <w:pPr>
        <w:ind w:left="200"/>
        <w:jc w:val="both"/>
        <w:rPr>
          <w:rStyle w:val="Subst"/>
        </w:rPr>
      </w:pPr>
    </w:p>
    <w:p w14:paraId="692E7BFE" w14:textId="64D4448C" w:rsidR="00470023" w:rsidRPr="00470023" w:rsidRDefault="00470023" w:rsidP="00470023">
      <w:pPr>
        <w:ind w:left="200"/>
        <w:jc w:val="both"/>
        <w:rPr>
          <w:rStyle w:val="Subst"/>
        </w:rPr>
      </w:pPr>
      <w:r w:rsidRPr="00470023">
        <w:rPr>
          <w:rStyle w:val="Subst"/>
        </w:rPr>
        <w:t>Внутренний рынок:</w:t>
      </w:r>
    </w:p>
    <w:p w14:paraId="3757A7CD" w14:textId="3E568B2C" w:rsidR="00470023" w:rsidRPr="00470023" w:rsidRDefault="00470023" w:rsidP="00470023">
      <w:pPr>
        <w:ind w:left="200"/>
        <w:jc w:val="both"/>
        <w:rPr>
          <w:rStyle w:val="Subst"/>
        </w:rPr>
      </w:pPr>
      <w:r w:rsidRPr="00470023">
        <w:rPr>
          <w:rStyle w:val="Subst"/>
        </w:rPr>
        <w:t xml:space="preserve">        Особенности и изменения в российской налоговой системе могут в значительной степени повлиять на финансово-хозяйственную деятельность, финансовое положение, результаты деятельности и перспективы развития Компании. </w:t>
      </w:r>
    </w:p>
    <w:p w14:paraId="38CD25DC" w14:textId="1925E86F" w:rsidR="00470023" w:rsidRPr="00470023" w:rsidRDefault="00470023" w:rsidP="00470023">
      <w:pPr>
        <w:ind w:left="200"/>
        <w:jc w:val="both"/>
        <w:rPr>
          <w:rStyle w:val="Subst"/>
        </w:rPr>
      </w:pPr>
      <w:r w:rsidRPr="00470023">
        <w:rPr>
          <w:rStyle w:val="Subst"/>
        </w:rPr>
        <w:t xml:space="preserve">        Несмотря на практически полную кодификацию, нормы законодательства Российской </w:t>
      </w:r>
      <w:r w:rsidRPr="00470023">
        <w:rPr>
          <w:rStyle w:val="Subst"/>
        </w:rPr>
        <w:lastRenderedPageBreak/>
        <w:t>Федерации о налогах и сборах подвержены изменениям. Периодически вступает в силу целый комплекс новых положений налогового законодательства. Вносятся поправки в ранее действовавшие нормы. При этом часть изменений улучшают положения налогоплательщика, а часть – ухудшают его.</w:t>
      </w:r>
    </w:p>
    <w:p w14:paraId="31324037" w14:textId="5E52AECF" w:rsidR="00470023" w:rsidRPr="00470023" w:rsidRDefault="00470023" w:rsidP="00470023">
      <w:pPr>
        <w:ind w:left="200"/>
        <w:jc w:val="both"/>
        <w:rPr>
          <w:rStyle w:val="Subst"/>
        </w:rPr>
      </w:pPr>
      <w:r w:rsidRPr="00470023">
        <w:rPr>
          <w:rStyle w:val="Subst"/>
        </w:rPr>
        <w:t xml:space="preserve">        Однако, в целом, действующее законодательство РФ о налогах и сборах предусматривает ряд достаточно эффективных инструментов для защиты прав и интересов налогоплательщиков, активно используемых Обществом.</w:t>
      </w:r>
    </w:p>
    <w:p w14:paraId="6FD648E8" w14:textId="250915CA" w:rsidR="00470023" w:rsidRPr="00470023" w:rsidRDefault="00470023" w:rsidP="00470023">
      <w:pPr>
        <w:ind w:left="200"/>
        <w:jc w:val="both"/>
        <w:rPr>
          <w:rStyle w:val="Subst"/>
        </w:rPr>
      </w:pPr>
      <w:r w:rsidRPr="00470023">
        <w:rPr>
          <w:rStyle w:val="Subst"/>
        </w:rPr>
        <w:t xml:space="preserve">        Поскольку постоянное изменение налогового законодательства свойственно всем экономически развитым государствам, связанные с таким изменением риски могут возникнут и при осуществлении Компании деятельности на внешних рынках. </w:t>
      </w:r>
    </w:p>
    <w:p w14:paraId="0AB7DEB3" w14:textId="6895B102" w:rsidR="00470023" w:rsidRPr="00470023" w:rsidRDefault="00470023" w:rsidP="00470023">
      <w:pPr>
        <w:ind w:left="200"/>
        <w:jc w:val="both"/>
        <w:rPr>
          <w:rStyle w:val="Subst"/>
        </w:rPr>
      </w:pPr>
      <w:r w:rsidRPr="00470023">
        <w:rPr>
          <w:rStyle w:val="Subst"/>
        </w:rPr>
        <w:t xml:space="preserve">Вместе с тем, поскольку АО «НПК» зарегистрировано в Российской Федерации и является налоговым резидентом Российской Федерации, влияние рисков изменения иностранного налогового законодательства на его деятельность на внешних рынках представляется ограниченным. </w:t>
      </w:r>
    </w:p>
    <w:p w14:paraId="4AE73A97" w14:textId="51B496A2" w:rsidR="00470023" w:rsidRPr="00470023" w:rsidRDefault="00470023" w:rsidP="00470023">
      <w:pPr>
        <w:ind w:left="200"/>
        <w:jc w:val="both"/>
        <w:rPr>
          <w:rStyle w:val="Subst"/>
        </w:rPr>
      </w:pPr>
      <w:r w:rsidRPr="00470023">
        <w:rPr>
          <w:rStyle w:val="Subst"/>
        </w:rPr>
        <w:t xml:space="preserve">        В связи с неопределенностью и противоречивостью в области налогообложения АО «НПК» потенциально подвержено возможности применения к нему различных штрафов и пеней, несмотря на все усилия по соблюдению налогового законодательства, что может привести к налоговому бремени в большем объеме, чем ожидалось. </w:t>
      </w:r>
    </w:p>
    <w:p w14:paraId="23BF8A39" w14:textId="180396D3" w:rsidR="00470023" w:rsidRPr="00470023" w:rsidRDefault="00470023" w:rsidP="00470023">
      <w:pPr>
        <w:ind w:left="200"/>
        <w:jc w:val="both"/>
        <w:rPr>
          <w:rStyle w:val="Subst"/>
        </w:rPr>
      </w:pPr>
      <w:r w:rsidRPr="00470023">
        <w:rPr>
          <w:rStyle w:val="Subst"/>
        </w:rPr>
        <w:t xml:space="preserve">        Периодически вносятся изменения в Налоговый кодекс РФ. </w:t>
      </w:r>
    </w:p>
    <w:p w14:paraId="06267E9C" w14:textId="5CBDEB8D" w:rsidR="00470023" w:rsidRPr="00470023" w:rsidRDefault="00470023" w:rsidP="00470023">
      <w:pPr>
        <w:ind w:left="200"/>
        <w:jc w:val="both"/>
        <w:rPr>
          <w:rStyle w:val="Subst"/>
        </w:rPr>
      </w:pPr>
      <w:r w:rsidRPr="00470023">
        <w:rPr>
          <w:rStyle w:val="Subst"/>
        </w:rPr>
        <w:t xml:space="preserve">        В связи с недостаточностью правоприменительной практики в отношении новых норм закона существуют риски, связанные с ее становлением. Правоприменительная практика будет сформирована в последующие налоговые периоды, и Общество будет тщательно отслеживать формирующуюся практику и учитывать ее в своей деятельности с целью минимизации возможных рисков.</w:t>
      </w:r>
    </w:p>
    <w:p w14:paraId="0DD3C83E" w14:textId="7D026453" w:rsidR="00470023" w:rsidRPr="00470023" w:rsidRDefault="00470023" w:rsidP="00470023">
      <w:pPr>
        <w:ind w:left="200"/>
        <w:jc w:val="both"/>
        <w:rPr>
          <w:rStyle w:val="Subst"/>
        </w:rPr>
      </w:pPr>
      <w:r w:rsidRPr="00470023">
        <w:rPr>
          <w:rStyle w:val="Subst"/>
        </w:rPr>
        <w:t xml:space="preserve">        Существует также риск дополнения или изменения в дальнейшем положений Налогового кодекса РФ, которые могут привести к увеличению налоговой нагрузки и, соответственно, к изменениям итоговых показателей хозяйственной деятельности, включая уменьшение чистой прибыли. </w:t>
      </w:r>
    </w:p>
    <w:p w14:paraId="10B5B463" w14:textId="5FCFB7C4" w:rsidR="00470023" w:rsidRPr="00470023" w:rsidRDefault="00470023" w:rsidP="00470023">
      <w:pPr>
        <w:ind w:left="200"/>
        <w:jc w:val="both"/>
        <w:rPr>
          <w:rStyle w:val="Subst"/>
        </w:rPr>
      </w:pPr>
      <w:r w:rsidRPr="00470023">
        <w:rPr>
          <w:rStyle w:val="Subst"/>
        </w:rPr>
        <w:t xml:space="preserve">        Невозможно гарантировать, что налоговое законодательство в ближайшее время не изменится неблагоприятным образом.</w:t>
      </w:r>
    </w:p>
    <w:p w14:paraId="25D606D8" w14:textId="3EC9BE88" w:rsidR="00470023" w:rsidRPr="00470023" w:rsidRDefault="00470023" w:rsidP="00470023">
      <w:pPr>
        <w:ind w:left="200"/>
        <w:jc w:val="both"/>
        <w:rPr>
          <w:rStyle w:val="Subst"/>
        </w:rPr>
      </w:pPr>
      <w:r w:rsidRPr="00470023">
        <w:rPr>
          <w:rStyle w:val="Subst"/>
        </w:rPr>
        <w:t xml:space="preserve">        Вместе с тем, Компания с целью минимизации воздействий указанного риска осуществляет регулярный мониторинг изменений налогового законодательства. </w:t>
      </w:r>
    </w:p>
    <w:p w14:paraId="1ED14DE2" w14:textId="5C9F4990" w:rsidR="00470023" w:rsidRPr="00470023" w:rsidRDefault="00470023" w:rsidP="00470023">
      <w:pPr>
        <w:ind w:left="200"/>
        <w:jc w:val="both"/>
        <w:rPr>
          <w:rStyle w:val="Subst"/>
        </w:rPr>
      </w:pPr>
      <w:r w:rsidRPr="00470023">
        <w:rPr>
          <w:rStyle w:val="Subst"/>
        </w:rPr>
        <w:t xml:space="preserve">        Риски, связанные с изменением налогового законодательства на внешнем рынке, Общество расценивает как минимальные в связи с тем фактом, что является резидентом Российской Федерации, которая, в свою очередь, имеет обширный ряд соглашений об избежание двойного налогообложения для ее резидентов, однако в последнее время наметилась тенденция на пересмотр этих соглашений</w:t>
      </w:r>
    </w:p>
    <w:p w14:paraId="5EA5A088" w14:textId="77777777" w:rsidR="00470023" w:rsidRPr="00470023" w:rsidRDefault="00470023" w:rsidP="00470023">
      <w:pPr>
        <w:ind w:left="200"/>
        <w:jc w:val="both"/>
        <w:rPr>
          <w:rStyle w:val="Subst"/>
        </w:rPr>
      </w:pPr>
    </w:p>
    <w:p w14:paraId="130C5B8C" w14:textId="65D5F134" w:rsidR="00470023" w:rsidRPr="00470023" w:rsidRDefault="00470023" w:rsidP="00470023">
      <w:pPr>
        <w:ind w:left="200"/>
        <w:jc w:val="both"/>
        <w:rPr>
          <w:rStyle w:val="Subst"/>
        </w:rPr>
      </w:pPr>
      <w:r w:rsidRPr="00470023">
        <w:rPr>
          <w:rStyle w:val="Subst"/>
        </w:rPr>
        <w:t>Внешний рынок:</w:t>
      </w:r>
    </w:p>
    <w:p w14:paraId="5C20D10A" w14:textId="77777777" w:rsidR="00470023" w:rsidRPr="00470023" w:rsidRDefault="00470023" w:rsidP="00470023">
      <w:pPr>
        <w:ind w:left="200"/>
        <w:jc w:val="both"/>
        <w:rPr>
          <w:rStyle w:val="Subst"/>
        </w:rPr>
      </w:pPr>
    </w:p>
    <w:p w14:paraId="72005BE6" w14:textId="39468057" w:rsidR="00470023" w:rsidRPr="00470023" w:rsidRDefault="00470023" w:rsidP="00470023">
      <w:pPr>
        <w:ind w:left="200"/>
        <w:jc w:val="both"/>
        <w:rPr>
          <w:rStyle w:val="Subst"/>
        </w:rPr>
      </w:pPr>
      <w:r w:rsidRPr="00470023">
        <w:rPr>
          <w:rStyle w:val="Subst"/>
        </w:rPr>
        <w:t xml:space="preserve">        Риски, связанные с изменением налогового законодательства на внешнем рынке, АО «НПК» расценивает как минимальные в связи с тем фактом, что Общество является резидентом Российской Федерации, а количество контрагентов нерезидентов стало минимальным</w:t>
      </w:r>
    </w:p>
    <w:p w14:paraId="12D27CA5" w14:textId="77777777" w:rsidR="00470023" w:rsidRPr="00470023" w:rsidRDefault="00470023" w:rsidP="00470023">
      <w:pPr>
        <w:ind w:left="200"/>
        <w:jc w:val="both"/>
        <w:rPr>
          <w:rStyle w:val="Subst"/>
        </w:rPr>
      </w:pPr>
      <w:r w:rsidRPr="00470023">
        <w:rPr>
          <w:rStyle w:val="Subst"/>
        </w:rPr>
        <w:t xml:space="preserve">        </w:t>
      </w:r>
    </w:p>
    <w:p w14:paraId="3004839C" w14:textId="60B64E17" w:rsidR="00470023" w:rsidRDefault="00470023" w:rsidP="00470023">
      <w:pPr>
        <w:ind w:left="200"/>
        <w:jc w:val="both"/>
        <w:rPr>
          <w:rStyle w:val="Subst"/>
        </w:rPr>
      </w:pPr>
      <w:r w:rsidRPr="00470023">
        <w:rPr>
          <w:rStyle w:val="Subst"/>
        </w:rPr>
        <w:t xml:space="preserve">        Компания полагает, что его интерпретация соответствующего законодательства как на внутреннем, так и на внешнем рынке является правильной, и что налоговые позиции Общество будут подтверждены.</w:t>
      </w:r>
      <w:r w:rsidDel="00470023">
        <w:rPr>
          <w:rStyle w:val="Subst"/>
        </w:rPr>
        <w:t xml:space="preserve"> </w:t>
      </w:r>
    </w:p>
    <w:p w14:paraId="3839BDF5" w14:textId="4CDEA2F1" w:rsidR="00294767" w:rsidRDefault="00E01351" w:rsidP="00470023">
      <w:pPr>
        <w:ind w:left="200"/>
        <w:jc w:val="both"/>
      </w:pPr>
      <w:r>
        <w:rPr>
          <w:rStyle w:val="Subst"/>
        </w:rPr>
        <w:br/>
        <w:t>Риски, связанные с изменением правил таможенного контроля и пошлин</w:t>
      </w:r>
      <w:r>
        <w:rPr>
          <w:rStyle w:val="Subst"/>
        </w:rPr>
        <w:br/>
      </w:r>
      <w:r>
        <w:rPr>
          <w:rStyle w:val="Subst"/>
        </w:rPr>
        <w:br/>
        <w:t>Внутренний рынок:</w:t>
      </w:r>
      <w:r>
        <w:rPr>
          <w:rStyle w:val="Subst"/>
        </w:rPr>
        <w:br/>
        <w:t xml:space="preserve">        Неоднозначность трактовок существующих нормативных актов таможенного законодательства может привести к возникновению соответствующих претензий к Обществу. Существуют риски возможного увеличения таможенных пошлин и сборов при ввозе товара на территорию Евразийского экономического союза (например, подвижного состава, приобретаемого или арендуемого Обществом у иностранных компаний). </w:t>
      </w:r>
      <w:r>
        <w:rPr>
          <w:rStyle w:val="Subst"/>
        </w:rPr>
        <w:br/>
        <w:t xml:space="preserve">         Доля услуг по организации перевозок экспортных (импортных, транзитных) грузов в общем объеме оказываемых услуг существенна. Поэтому периодическое изменение порядка таможенного оформления грузов, ввозимых на территорию Евразийского экономического союза и вывозимых за пределы указанной таможенной территории, может осложнить для АО «НПК» доказывание обоснованности применения той или иной налоговой ставки (0% или 20%) по налогу </w:t>
      </w:r>
      <w:r>
        <w:rPr>
          <w:rStyle w:val="Subst"/>
        </w:rPr>
        <w:lastRenderedPageBreak/>
        <w:t>на добавленную стоимость, учитывая положения статей 164, 165 Налогового кодекса РФ (в случаях, когда Общество оказывает услуги по организации перевозок таких грузов).</w:t>
      </w:r>
      <w:r>
        <w:rPr>
          <w:rStyle w:val="Subst"/>
        </w:rPr>
        <w:br/>
        <w:t xml:space="preserve">        Общество пристально изучает все возможные изменения в законодательстве и в случае таких изменений предпримет все необходимые меры по соблюдению этих норм и минимизации возможного негативного эффекта от изменений в законодательстве, в том числе путем согласования с клиентами и включения в договоры с ними условий, учитывающих права и законные интересы Сторон. </w:t>
      </w:r>
      <w:r>
        <w:rPr>
          <w:rStyle w:val="Subst"/>
        </w:rPr>
        <w:br/>
      </w:r>
      <w:r>
        <w:rPr>
          <w:rStyle w:val="Subst"/>
        </w:rPr>
        <w:br/>
      </w:r>
      <w:r>
        <w:rPr>
          <w:rStyle w:val="Subst"/>
        </w:rPr>
        <w:br/>
        <w:t>Риски, связанные с изменением требований по лицензированию основной деятельности Общество, а также лицензированию прав пользования объектами, нахождение которых в обороте ограничено (включая природные ресурсы)</w:t>
      </w:r>
      <w:r>
        <w:rPr>
          <w:rStyle w:val="Subst"/>
        </w:rPr>
        <w:br/>
      </w:r>
      <w:r>
        <w:rPr>
          <w:rStyle w:val="Subst"/>
        </w:rPr>
        <w:br/>
        <w:t>Внутренний рынок:</w:t>
      </w:r>
      <w:r>
        <w:rPr>
          <w:rStyle w:val="Subst"/>
        </w:rPr>
        <w:br/>
        <w:t xml:space="preserve">        АО «НПК» не осуществляет деятельность, требующую лицензирования. Изменение требований по лицензированию не является существенным правовым риском для Компании.</w:t>
      </w:r>
      <w:r>
        <w:rPr>
          <w:rStyle w:val="Subst"/>
        </w:rPr>
        <w:br/>
        <w:t xml:space="preserve">        Общество не имеет прав пользования объектами, нахождение которых в обороте ограничено (включая природные ресурсы).</w:t>
      </w:r>
      <w:r>
        <w:rPr>
          <w:rStyle w:val="Subst"/>
        </w:rPr>
        <w:br/>
      </w:r>
      <w:r>
        <w:rPr>
          <w:rStyle w:val="Subst"/>
        </w:rPr>
        <w:br/>
        <w:t>Внешний рынок:</w:t>
      </w:r>
      <w:r>
        <w:rPr>
          <w:rStyle w:val="Subst"/>
        </w:rPr>
        <w:br/>
      </w:r>
      <w:r>
        <w:rPr>
          <w:rStyle w:val="Subst"/>
        </w:rPr>
        <w:br/>
        <w:t xml:space="preserve">        Компания не ведет имеющей для него существенного значения деятельности на внешнем рынке. По этой причине описание иных рисков на внешнем рынке не приводится.</w:t>
      </w:r>
      <w:r>
        <w:rPr>
          <w:rStyle w:val="Subst"/>
        </w:rPr>
        <w:br/>
      </w:r>
      <w:r>
        <w:rPr>
          <w:rStyle w:val="Subst"/>
        </w:rPr>
        <w:br/>
      </w:r>
      <w:r>
        <w:rPr>
          <w:rStyle w:val="Subst"/>
        </w:rPr>
        <w:br/>
        <w:t>Риски, связанные с изменением судебной практики по вопросам, связанным с финансово-хозяйственной  деятельностью Общества, которые могут негативно сказаться на результатах его финансово-хозяйственной деятельности, а также на результатах текущих судебных процессов, в которых участвует Общество</w:t>
      </w:r>
      <w:r>
        <w:rPr>
          <w:rStyle w:val="Subst"/>
        </w:rPr>
        <w:br/>
      </w:r>
      <w:r>
        <w:rPr>
          <w:rStyle w:val="Subst"/>
        </w:rPr>
        <w:br/>
        <w:t xml:space="preserve">        Изменение судебной практики может повлиять на финансово-хозяйственную деятельность АО «НПК», но не в значительной степени, так как Компания старается решать все возникающие споры во внесудебном порядке, а в случае обращения в суд учтет новую судебную практику.</w:t>
      </w:r>
      <w:r>
        <w:rPr>
          <w:rStyle w:val="Subst"/>
        </w:rPr>
        <w:br/>
        <w:t xml:space="preserve">        АО «НПК» не участвует и не планирует участия в судебных процессах, которые могут существенно повлиять на его финансово-хозяйственную деятельность, поэтому риски, связанные с изменением судебной практики по вопросам, связанным с финансово-хозяйственной деятельностью Общества, которые могут негативно сказаться на результатах его деятельности, минимальны.</w:t>
      </w:r>
      <w:r>
        <w:rPr>
          <w:rStyle w:val="Subst"/>
        </w:rPr>
        <w:br/>
      </w:r>
    </w:p>
    <w:p w14:paraId="1A392205" w14:textId="77777777" w:rsidR="00294767" w:rsidRDefault="00E01351">
      <w:pPr>
        <w:pStyle w:val="2"/>
      </w:pPr>
      <w:bookmarkStart w:id="21" w:name="_Toc133918771"/>
      <w:r>
        <w:t>1.9.5. Риск потери деловой репутации (репутационный риск)</w:t>
      </w:r>
      <w:bookmarkEnd w:id="21"/>
    </w:p>
    <w:p w14:paraId="1CDACE45" w14:textId="1C353A38" w:rsidR="00294767" w:rsidRDefault="00E01351" w:rsidP="00172F6F">
      <w:pPr>
        <w:ind w:left="200"/>
        <w:jc w:val="both"/>
      </w:pPr>
      <w:r>
        <w:rPr>
          <w:rStyle w:val="Subst"/>
        </w:rPr>
        <w:t>Деятельность Эмитента нацелена на исполнение в полном объеме обязательств по отношению к клиентам и контрагентам. Общество ведёт постоянную работу по повышению качества оказываемых услуг и росту клиентоориентированности, достижению целей, определенных Транспортной стратегией Российской Федерации на период до 2030 года.</w:t>
      </w:r>
      <w:r>
        <w:rPr>
          <w:rStyle w:val="Subst"/>
        </w:rPr>
        <w:br/>
        <w:t xml:space="preserve">        Эмитент выполняет все необходимые действия для сохранения деловой репутации, в частности осуществляет постоянный контроль над обеспечением высокого качества оказываемых услуг и совершенствованием следующих аспектов своей деятельности:</w:t>
      </w:r>
      <w:r>
        <w:rPr>
          <w:rStyle w:val="Subst"/>
        </w:rPr>
        <w:br/>
        <w:t xml:space="preserve">        -  выполнение обязательств по заключенным договорам;</w:t>
      </w:r>
      <w:r>
        <w:rPr>
          <w:rStyle w:val="Subst"/>
        </w:rPr>
        <w:br/>
        <w:t xml:space="preserve">        -  поддержание безопасного объёма и структуры кредиторской задолженности;</w:t>
      </w:r>
      <w:r>
        <w:rPr>
          <w:rStyle w:val="Subst"/>
        </w:rPr>
        <w:br/>
        <w:t xml:space="preserve">        -  своевременные выплаты процентов по привлечённым займам;</w:t>
      </w:r>
      <w:r>
        <w:rPr>
          <w:rStyle w:val="Subst"/>
        </w:rPr>
        <w:br/>
        <w:t xml:space="preserve">        -  освещение деятельности Эмитента в СМИ и др.</w:t>
      </w:r>
      <w:r>
        <w:rPr>
          <w:rStyle w:val="Subst"/>
        </w:rPr>
        <w:br/>
        <w:t xml:space="preserve">        Успешная реализация данных целей и задач во многом определяет деловую репутацию Общества.</w:t>
      </w:r>
      <w:r>
        <w:rPr>
          <w:rStyle w:val="Subst"/>
        </w:rPr>
        <w:br/>
        <w:t xml:space="preserve">        В настоящее время существенного влияния репутационных рисков на деятельность Эмитента не ожидается. При возникновении условий, создающих дополнительные риски, которые могут привести к потере деловой репутации, Эмитент приложит все усилия для их сведения к минимуму.</w:t>
      </w:r>
      <w:r>
        <w:rPr>
          <w:rStyle w:val="Subst"/>
        </w:rPr>
        <w:br/>
      </w:r>
    </w:p>
    <w:p w14:paraId="41072F11" w14:textId="77777777" w:rsidR="005468A8" w:rsidRDefault="005468A8" w:rsidP="00172F6F">
      <w:pPr>
        <w:ind w:left="200"/>
        <w:jc w:val="both"/>
      </w:pPr>
    </w:p>
    <w:p w14:paraId="1127E63D" w14:textId="77777777" w:rsidR="00294767" w:rsidRDefault="00E01351">
      <w:pPr>
        <w:pStyle w:val="2"/>
      </w:pPr>
      <w:bookmarkStart w:id="22" w:name="_Toc133918772"/>
      <w:r>
        <w:t>1.9.6. Стратегический риск</w:t>
      </w:r>
      <w:bookmarkEnd w:id="22"/>
    </w:p>
    <w:p w14:paraId="42B87C57" w14:textId="77777777" w:rsidR="00294767" w:rsidRDefault="00E01351" w:rsidP="00172F6F">
      <w:pPr>
        <w:ind w:left="200"/>
        <w:jc w:val="both"/>
      </w:pPr>
      <w:r>
        <w:rPr>
          <w:rStyle w:val="Subst"/>
        </w:rPr>
        <w:lastRenderedPageBreak/>
        <w:t>Перспективные направления развития рынка железнодорожных перевозок в целом как ключевой отрасли определяются государством. Распоряжением Правительства Российской Федерации от 22 ноября 2008 г. N 1734-р утверждена Транспортная стратегия Российской Федерации на период до 2030 года (ред. 11.06.2014), распоряжением Правительства Российской Федерации от 17 июня 2008 г. N 877-р утверждена Стратегия развития железнодорожного транспорта в Российской Федерации до 2030 года.</w:t>
      </w:r>
      <w:r>
        <w:rPr>
          <w:rStyle w:val="Subst"/>
        </w:rPr>
        <w:br/>
        <w:t xml:space="preserve">        Компания осуществляет стратегию конъюнктурного роста путем постоянного мониторинга за изменениями в рыночной среде в целях определения актуальных направлений развития, с учётом целевых ориентиров установленных указанными стратегиями. Устойчивость развития Компании обеспечивается за счет ежегодного принятия Бюджета и Инвестпрограммы Эмитента.</w:t>
      </w:r>
      <w:r>
        <w:rPr>
          <w:rStyle w:val="Subst"/>
        </w:rPr>
        <w:br/>
        <w:t xml:space="preserve">        Ключевым условием развития и конкурентного преимущества Компании является способность Компании привлекать, сохранять и мотивировать квалифицированный персонал. Риск потери квалифицированного персонала имеет ограниченное влияние на деятельность Эмитента и на исполнение им обязательств по ценным бумагам.</w:t>
      </w:r>
      <w:r>
        <w:rPr>
          <w:rStyle w:val="Subst"/>
        </w:rPr>
        <w:br/>
        <w:t xml:space="preserve">        На долгосрочные перспективы рынка Эмитента могут периодически влиять неконтролируемые эмитентом факторы. К таким факторам относятся, например, глобальные и/или региональные геополитические события, такие как политические волнения, вводимые государством торговые ограничения, потрясения на финансовых рынках и кризис в финансовом секторе. Подобное развитие событий может негативно отразиться на деятельности Эмитента в определенных регионах или даже странах, если они имеют серьезные негативные последствия для экономического развития в отдельных регионах или странах. Эмитент нацелен на то, чтобы реагировать как можно более эффективно как на положительные, так и на отрицательные изменения.</w:t>
      </w:r>
      <w:r>
        <w:rPr>
          <w:rStyle w:val="Subst"/>
        </w:rPr>
        <w:br/>
        <w:t xml:space="preserve">        Обострение геополитической обстановки и расширение санкционных ограничений создают неопределенность в отношении перспектив спроса на грузовые железнодорожные перевозки. Менеджмент компании внимательно следит за развитием ситуации на рынке и готов оперативно действовать в зависимости от её развития.</w:t>
      </w:r>
      <w:r>
        <w:rPr>
          <w:rStyle w:val="Subst"/>
        </w:rPr>
        <w:br/>
      </w:r>
    </w:p>
    <w:p w14:paraId="3A86E8B4" w14:textId="77777777" w:rsidR="00294767" w:rsidRDefault="00E01351">
      <w:pPr>
        <w:pStyle w:val="2"/>
      </w:pPr>
      <w:bookmarkStart w:id="23" w:name="_Toc133918773"/>
      <w:r>
        <w:t>1.9.7. Риски, связанные с деятельностью эмитента</w:t>
      </w:r>
      <w:bookmarkEnd w:id="23"/>
    </w:p>
    <w:p w14:paraId="649A05B9" w14:textId="77777777" w:rsidR="00294767" w:rsidRDefault="00E01351" w:rsidP="00172F6F">
      <w:pPr>
        <w:ind w:left="200"/>
        <w:jc w:val="both"/>
      </w:pPr>
      <w:r>
        <w:rPr>
          <w:rStyle w:val="Subst"/>
        </w:rPr>
        <w:t>Риски, свойственные исключительно Обществу или связанные с осуществляемой Обществом основной финансово-хозяйственной деятельностью, в том числе риски, связанные с:</w:t>
      </w:r>
      <w:r>
        <w:rPr>
          <w:rStyle w:val="Subst"/>
        </w:rPr>
        <w:br/>
      </w:r>
      <w:r>
        <w:rPr>
          <w:rStyle w:val="Subst"/>
        </w:rPr>
        <w:br/>
        <w:t xml:space="preserve">- Текущими судебными процессами, в которых участвует АО «НПК»: </w:t>
      </w:r>
      <w:r>
        <w:rPr>
          <w:rStyle w:val="Subst"/>
        </w:rPr>
        <w:br/>
        <w:t xml:space="preserve">        Компания не участвует в судебных процессах в качестве ответчика, имеющих для нее существенное значение. </w:t>
      </w:r>
      <w:r>
        <w:rPr>
          <w:rStyle w:val="Subst"/>
        </w:rPr>
        <w:br/>
      </w:r>
      <w:r>
        <w:rPr>
          <w:rStyle w:val="Subst"/>
        </w:rPr>
        <w:br/>
        <w:t xml:space="preserve">-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 (включая природные ресурсы): </w:t>
      </w:r>
      <w:r>
        <w:rPr>
          <w:rStyle w:val="Subst"/>
        </w:rPr>
        <w:br/>
        <w:t xml:space="preserve">       Основная деятельность, осуществляемая АО «НПК», не требует лицензирования. Компания не имеет лицензии на использование объектов, нахождение которых в обороте ограничено (включая природные ресурсы).</w:t>
      </w:r>
      <w:r>
        <w:rPr>
          <w:rStyle w:val="Subst"/>
        </w:rPr>
        <w:br/>
      </w:r>
      <w:r>
        <w:rPr>
          <w:rStyle w:val="Subst"/>
        </w:rPr>
        <w:br/>
      </w:r>
      <w:r>
        <w:rPr>
          <w:rStyle w:val="Subst"/>
        </w:rPr>
        <w:br/>
        <w:t xml:space="preserve">- Возможной ответственностью Общества по долгам третьих лиц, в том числе дочерних обществ Общества: </w:t>
      </w:r>
      <w:r>
        <w:rPr>
          <w:rStyle w:val="Subst"/>
        </w:rPr>
        <w:br/>
        <w:t xml:space="preserve">       Риск, связанный с возможной ответственностью АО «НПК» по долгам третьих лиц, в том числе дочерних обществ Компании, оценивается как незначительный. АО «НПК» не имеет дочерних обществ.</w:t>
      </w:r>
      <w:r>
        <w:rPr>
          <w:rStyle w:val="Subst"/>
        </w:rPr>
        <w:br/>
      </w:r>
      <w:r>
        <w:rPr>
          <w:rStyle w:val="Subst"/>
        </w:rPr>
        <w:br/>
      </w:r>
      <w:r>
        <w:rPr>
          <w:rStyle w:val="Subst"/>
        </w:rPr>
        <w:br/>
        <w:t xml:space="preserve">- Возможностью потери потребителей, на оборот с которыми приходится не менее чем 10 процентов общей выручки от продажи продукции (работ, услуг) Общества: </w:t>
      </w:r>
      <w:r>
        <w:rPr>
          <w:rStyle w:val="Subst"/>
        </w:rPr>
        <w:br/>
        <w:t xml:space="preserve">       АО «НПК» проводит регулярную работу, направленную на расширение и диверсификацию клиентской базы перевозимых грузов, направлений перевозок, а также мониторинг рынка перевозок и потребностей грузоотправителей и грузополучателей, что позволит, по мнению Компании, минимизировать влияние рисков, связанных с концентрацией клиентской базы.</w:t>
      </w:r>
    </w:p>
    <w:p w14:paraId="03DA7D3A" w14:textId="77777777" w:rsidR="00294767" w:rsidRDefault="00E01351">
      <w:pPr>
        <w:pStyle w:val="2"/>
      </w:pPr>
      <w:bookmarkStart w:id="24" w:name="_Toc133918774"/>
      <w:r>
        <w:t>1.9.8. Риск информационной безопасности</w:t>
      </w:r>
      <w:bookmarkEnd w:id="24"/>
    </w:p>
    <w:p w14:paraId="7002C693" w14:textId="43A4E028" w:rsidR="00294767" w:rsidRDefault="00E01351" w:rsidP="00172F6F">
      <w:pPr>
        <w:ind w:left="200"/>
        <w:jc w:val="both"/>
      </w:pPr>
      <w:r>
        <w:rPr>
          <w:rStyle w:val="Subst"/>
        </w:rPr>
        <w:t xml:space="preserve">       Риски, связанные с правами доступа, контрольными журналами, аутентификацией, авторизацией, процедурами резервирования, непрерывностью бизнеса, управлением изменениями </w:t>
      </w:r>
      <w:r>
        <w:rPr>
          <w:rStyle w:val="Subst"/>
        </w:rPr>
        <w:lastRenderedPageBreak/>
        <w:t>(программным и аппаратным обеспечением),  целостностью данных, аварийным восстановлением, инфраструктурой, информационной безопасностью,  защищенностью информации, кибератаками и т.д.</w:t>
      </w:r>
      <w:r>
        <w:rPr>
          <w:rStyle w:val="Subst"/>
        </w:rPr>
        <w:br/>
        <w:t xml:space="preserve">Для минимизации данных рисков в АО «НПК» применяются меры по сбору событий информационной безопасности, в случаю выявления событий ИБ и оперативному реагированию на них. Для разграничения прав доступа используются инструменты гранулированного предоставления прав доступа согласно имеющейся заявке (при необходимости согласованной руководителями) в системе ITSM. Для резервирования и непрерывности бизнеса используется специализированное ПО, а также подходы по применяемым отказоустойчивым решениям и инфраструктуре. Для реагирования на киберугрозы применяется </w:t>
      </w:r>
      <w:r w:rsidR="007B7832" w:rsidRPr="007B7832">
        <w:rPr>
          <w:b/>
          <w:bCs/>
          <w:i/>
          <w:iCs/>
        </w:rPr>
        <w:t>специализированное программное обеспечение</w:t>
      </w:r>
      <w:r>
        <w:rPr>
          <w:rStyle w:val="Subst"/>
        </w:rPr>
        <w:t>.</w:t>
      </w:r>
      <w:r>
        <w:rPr>
          <w:rStyle w:val="Subst"/>
        </w:rPr>
        <w:br/>
      </w:r>
    </w:p>
    <w:p w14:paraId="3588F18F" w14:textId="77777777" w:rsidR="00294767" w:rsidRDefault="00E01351">
      <w:pPr>
        <w:pStyle w:val="2"/>
      </w:pPr>
      <w:bookmarkStart w:id="25" w:name="_Toc133918775"/>
      <w:r>
        <w:t>1.9.9. Экологический риск</w:t>
      </w:r>
      <w:bookmarkEnd w:id="25"/>
    </w:p>
    <w:p w14:paraId="61A7D40A" w14:textId="77777777" w:rsidR="00294767" w:rsidRDefault="00172F6F" w:rsidP="00172F6F">
      <w:pPr>
        <w:ind w:left="200"/>
        <w:jc w:val="both"/>
      </w:pPr>
      <w:r>
        <w:rPr>
          <w:rStyle w:val="Subst"/>
        </w:rPr>
        <w:t>Существенные</w:t>
      </w:r>
      <w:r w:rsidR="00E01351">
        <w:rPr>
          <w:rStyle w:val="Subst"/>
        </w:rPr>
        <w:t xml:space="preserve"> для деятельности эмитента (группы эмитента) риски данного вида отсутствуют</w:t>
      </w:r>
    </w:p>
    <w:p w14:paraId="7E7E5C58" w14:textId="77777777" w:rsidR="00294767" w:rsidRDefault="00E01351">
      <w:pPr>
        <w:pStyle w:val="2"/>
      </w:pPr>
      <w:bookmarkStart w:id="26" w:name="_Toc133918776"/>
      <w:r>
        <w:t>1.9.10. Природно-климатический риск</w:t>
      </w:r>
      <w:bookmarkEnd w:id="26"/>
    </w:p>
    <w:p w14:paraId="50A99E91" w14:textId="77777777" w:rsidR="00294767" w:rsidRDefault="00E01351" w:rsidP="00172F6F">
      <w:pPr>
        <w:ind w:left="200"/>
        <w:jc w:val="both"/>
      </w:pPr>
      <w:r>
        <w:rPr>
          <w:rStyle w:val="Subst"/>
        </w:rPr>
        <w:t xml:space="preserve">       Катастрофические события, которые могут вызвать существенную потерю имущества, прерывание бизнеса (террористические атаки, стихийные бедствия или иные стихийные обстоятельства, не зависящие от Компании), риски, связанные с изменением </w:t>
      </w:r>
      <w:r w:rsidR="00172F6F">
        <w:rPr>
          <w:rStyle w:val="Subst"/>
        </w:rPr>
        <w:t>климата,</w:t>
      </w:r>
      <w:r>
        <w:rPr>
          <w:rStyle w:val="Subst"/>
        </w:rPr>
        <w:t xml:space="preserve"> могут привести:</w:t>
      </w:r>
      <w:r>
        <w:rPr>
          <w:rStyle w:val="Subst"/>
        </w:rPr>
        <w:br/>
        <w:t>1) Неспособность защитить имущество Компании от значительных потерь,</w:t>
      </w:r>
      <w:r>
        <w:rPr>
          <w:rStyle w:val="Subst"/>
        </w:rPr>
        <w:br/>
        <w:t xml:space="preserve">2) Рост числа опасных погодных явлений, осложняющих функционирование железнодорожного транспорта. </w:t>
      </w:r>
      <w:r>
        <w:rPr>
          <w:rStyle w:val="Subst"/>
        </w:rPr>
        <w:br/>
        <w:t xml:space="preserve">       Действующие системы контроля:</w:t>
      </w:r>
      <w:r>
        <w:rPr>
          <w:rStyle w:val="Subst"/>
        </w:rPr>
        <w:br/>
        <w:t>Процедуры, направленные на поддержание имущества в рабочем состоянии, постоянный мониторинг технического состояния. Страхование имущества. Процедуры в области поддержания непрерывности бизнеса.</w:t>
      </w:r>
      <w:r>
        <w:rPr>
          <w:rStyle w:val="Subst"/>
        </w:rPr>
        <w:br/>
      </w:r>
    </w:p>
    <w:p w14:paraId="16351198" w14:textId="77777777" w:rsidR="00294767" w:rsidRDefault="00E01351">
      <w:pPr>
        <w:pStyle w:val="2"/>
      </w:pPr>
      <w:bookmarkStart w:id="27" w:name="_Toc133918777"/>
      <w:r>
        <w:t>1.9.11. Риски кредитных организаций</w:t>
      </w:r>
      <w:bookmarkEnd w:id="27"/>
    </w:p>
    <w:p w14:paraId="0CF0C3CC" w14:textId="77777777" w:rsidR="00294767" w:rsidRDefault="00E01351">
      <w:pPr>
        <w:ind w:left="200"/>
      </w:pPr>
      <w:r>
        <w:t>Эмитент не является кредитной организацией</w:t>
      </w:r>
    </w:p>
    <w:p w14:paraId="0B9418D8" w14:textId="77777777" w:rsidR="00294767" w:rsidRDefault="00E01351">
      <w:pPr>
        <w:pStyle w:val="2"/>
      </w:pPr>
      <w:bookmarkStart w:id="28" w:name="_Toc133918778"/>
      <w:r>
        <w:t>1.9.12. Иные риски, которые являются существенными для эмитента (группы эмитента)</w:t>
      </w:r>
      <w:bookmarkEnd w:id="28"/>
    </w:p>
    <w:p w14:paraId="4B89BEA1" w14:textId="77777777" w:rsidR="00294767" w:rsidRDefault="00172F6F">
      <w:pPr>
        <w:ind w:left="200"/>
      </w:pPr>
      <w:r>
        <w:rPr>
          <w:rStyle w:val="Subst"/>
        </w:rPr>
        <w:t>Существенные</w:t>
      </w:r>
      <w:r w:rsidR="00E01351">
        <w:rPr>
          <w:rStyle w:val="Subst"/>
        </w:rPr>
        <w:t xml:space="preserve"> для деятельности эмитента (группы эмитента) риски данного вида отсутствуют</w:t>
      </w:r>
    </w:p>
    <w:p w14:paraId="7E630E1C" w14:textId="77777777" w:rsidR="00294767" w:rsidRDefault="00E01351">
      <w:pPr>
        <w:pStyle w:val="1"/>
      </w:pPr>
      <w:bookmarkStart w:id="29" w:name="_Toc133918779"/>
      <w:r w:rsidRPr="00611E8C">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bookmarkEnd w:id="29"/>
    </w:p>
    <w:p w14:paraId="39215064" w14:textId="77777777" w:rsidR="00294767" w:rsidRDefault="00E01351">
      <w:pPr>
        <w:pStyle w:val="2"/>
      </w:pPr>
      <w:bookmarkStart w:id="30" w:name="_Toc133918780"/>
      <w:r>
        <w:t>2.1. Информация о лицах, входящих в состав органов управления эмитента</w:t>
      </w:r>
      <w:bookmarkEnd w:id="30"/>
    </w:p>
    <w:p w14:paraId="37A52E0F" w14:textId="0C157511" w:rsidR="002C5D1A" w:rsidRPr="005468A8" w:rsidRDefault="002C5D1A" w:rsidP="002C5D1A">
      <w:pPr>
        <w:ind w:left="200"/>
        <w:jc w:val="both"/>
        <w:rPr>
          <w:rStyle w:val="Subst"/>
          <w:bCs w:val="0"/>
          <w:iCs w:val="0"/>
        </w:rPr>
      </w:pPr>
      <w:r w:rsidRPr="005468A8">
        <w:rPr>
          <w:rStyle w:val="Subst"/>
          <w:bCs w:val="0"/>
          <w:iCs w:val="0"/>
        </w:rPr>
        <w:t>Информация об изменениях в составе сведений настоящего пункта отчёта эмитента, которые произошли между отчетной датой и датой раскрытия отчётности, на основе которой в отчёте эмитента раскрывается информация о финансово-хозяйственной деятельности эмитента, которая известна или должна быть известна эмитенту на дату раскрытия соответствующей отчетности:</w:t>
      </w:r>
    </w:p>
    <w:p w14:paraId="1F0413BD" w14:textId="485C625F" w:rsidR="00994322" w:rsidRPr="005468A8" w:rsidRDefault="00994322" w:rsidP="00994322">
      <w:pPr>
        <w:ind w:left="200"/>
        <w:jc w:val="both"/>
        <w:rPr>
          <w:bCs/>
          <w:iCs/>
        </w:rPr>
      </w:pPr>
      <w:r w:rsidRPr="005468A8">
        <w:rPr>
          <w:bCs/>
          <w:iCs/>
        </w:rPr>
        <w:t xml:space="preserve">Информация не раскрывается в соответствии с Постановлением Правительства от 12 марта 2022 года </w:t>
      </w:r>
      <w:r w:rsidR="005468A8">
        <w:rPr>
          <w:bCs/>
          <w:iCs/>
        </w:rPr>
        <w:t xml:space="preserve">    </w:t>
      </w:r>
      <w:r w:rsidRPr="005468A8">
        <w:rPr>
          <w:bCs/>
          <w:iCs/>
        </w:rPr>
        <w:t>№ 351.</w:t>
      </w:r>
    </w:p>
    <w:p w14:paraId="2B252ADC" w14:textId="77777777" w:rsidR="00994322" w:rsidRDefault="00994322" w:rsidP="002C5D1A">
      <w:pPr>
        <w:ind w:left="200"/>
        <w:jc w:val="both"/>
        <w:rPr>
          <w:rStyle w:val="Subst"/>
        </w:rPr>
      </w:pPr>
    </w:p>
    <w:p w14:paraId="3A79424B" w14:textId="537B2E1F" w:rsidR="00294767" w:rsidRDefault="00E01351">
      <w:pPr>
        <w:pStyle w:val="2"/>
      </w:pPr>
      <w:bookmarkStart w:id="31" w:name="_Toc133918781"/>
      <w:r>
        <w:t>2.1.1. Состав совета директоров (наблюдательного совета) эмитента</w:t>
      </w:r>
      <w:bookmarkEnd w:id="31"/>
    </w:p>
    <w:p w14:paraId="58F0FEF4" w14:textId="77777777" w:rsidR="00294767" w:rsidRDefault="00E01351" w:rsidP="00172F6F">
      <w:pPr>
        <w:ind w:left="200"/>
        <w:jc w:val="both"/>
      </w:pPr>
      <w:r>
        <w:rPr>
          <w:rStyle w:val="Subst"/>
        </w:rPr>
        <w:t xml:space="preserve">В связи с тем, что в обществе в качестве совещательных органов при совете директоров (наблюдательном совете) комитеты совета директоров (наблюдательного совета) не создавались, члены совета директоров (наблюдательного совета) не участвуют в работе </w:t>
      </w:r>
      <w:r>
        <w:rPr>
          <w:rStyle w:val="Subst"/>
        </w:rPr>
        <w:lastRenderedPageBreak/>
        <w:t>комитетов совета директоров (наблюдательного совета)</w:t>
      </w:r>
    </w:p>
    <w:p w14:paraId="1DD257D0" w14:textId="2F5375DD" w:rsidR="00994322" w:rsidRPr="00994322" w:rsidRDefault="00994322" w:rsidP="00994322">
      <w:pPr>
        <w:ind w:left="200"/>
      </w:pPr>
      <w:r w:rsidRPr="00994322">
        <w:t>Информация не раскрывается в соответствии с Постановлением Правительства от 12 марта 2022 года № 351.</w:t>
      </w:r>
    </w:p>
    <w:p w14:paraId="3071A9F6" w14:textId="1A1539C7" w:rsidR="00496DDB" w:rsidRDefault="00496DDB">
      <w:pPr>
        <w:ind w:left="200"/>
      </w:pPr>
    </w:p>
    <w:p w14:paraId="127DDC40" w14:textId="0BE7E487" w:rsidR="00294767" w:rsidRPr="00D03EB6" w:rsidRDefault="00E01351" w:rsidP="00D03EB6">
      <w:pPr>
        <w:ind w:left="200" w:hanging="200"/>
        <w:jc w:val="both"/>
        <w:rPr>
          <w:b/>
        </w:rPr>
      </w:pPr>
      <w:bookmarkStart w:id="32" w:name="_Toc133918782"/>
      <w:r w:rsidRPr="00D03EB6">
        <w:rPr>
          <w:b/>
        </w:rPr>
        <w:t>2.1.2. Информация о единоличном исполнительном органе эмитента</w:t>
      </w:r>
      <w:bookmarkEnd w:id="32"/>
    </w:p>
    <w:p w14:paraId="01773216" w14:textId="77777777" w:rsidR="00294767" w:rsidRDefault="00294767">
      <w:pPr>
        <w:ind w:left="200"/>
      </w:pPr>
    </w:p>
    <w:p w14:paraId="54C91742" w14:textId="77777777" w:rsidR="00294767" w:rsidRDefault="00E01351">
      <w:pPr>
        <w:ind w:left="200"/>
      </w:pPr>
      <w:r>
        <w:t>Фамилия, имя, отчество (последнее при наличии):</w:t>
      </w:r>
      <w:r>
        <w:rPr>
          <w:rStyle w:val="Subst"/>
        </w:rPr>
        <w:t xml:space="preserve"> Шпаков Валерий Васильевич</w:t>
      </w:r>
    </w:p>
    <w:p w14:paraId="4EA5AC74" w14:textId="55795E08" w:rsidR="00994322" w:rsidRPr="00084CA0" w:rsidRDefault="00994322" w:rsidP="00994322">
      <w:pPr>
        <w:ind w:left="200"/>
      </w:pPr>
      <w:r w:rsidRPr="00084CA0">
        <w:t>Информация не раскрывается в соответствии с Постановлением Правительства от 12 марта 2022 года № 351.</w:t>
      </w:r>
    </w:p>
    <w:p w14:paraId="3BF8E1A3" w14:textId="77777777" w:rsidR="00994322" w:rsidRDefault="00994322">
      <w:pPr>
        <w:ind w:left="200"/>
        <w:rPr>
          <w:highlight w:val="red"/>
        </w:rPr>
      </w:pPr>
    </w:p>
    <w:p w14:paraId="76511318" w14:textId="5095B7BE" w:rsidR="00294767" w:rsidRDefault="00E01351">
      <w:pPr>
        <w:pStyle w:val="2"/>
      </w:pPr>
      <w:bookmarkStart w:id="33" w:name="_Toc133918783"/>
      <w:r>
        <w:t>2.1.3. Состав коллегиального исполнительного органа эмитента</w:t>
      </w:r>
      <w:bookmarkEnd w:id="33"/>
    </w:p>
    <w:p w14:paraId="1F567416" w14:textId="77777777" w:rsidR="00294767" w:rsidRDefault="00E01351">
      <w:pPr>
        <w:ind w:left="200"/>
      </w:pPr>
      <w:r>
        <w:rPr>
          <w:rStyle w:val="Subst"/>
        </w:rPr>
        <w:t>Коллегиальный исполнительный орган не предусмотрен</w:t>
      </w:r>
    </w:p>
    <w:p w14:paraId="52B026EA" w14:textId="77777777" w:rsidR="00294767" w:rsidRDefault="00E01351">
      <w:pPr>
        <w:pStyle w:val="2"/>
      </w:pPr>
      <w:bookmarkStart w:id="34" w:name="_Toc133918784"/>
      <w: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bookmarkEnd w:id="34"/>
    </w:p>
    <w:p w14:paraId="4AD1BE51" w14:textId="77777777" w:rsidR="00294767" w:rsidRDefault="00E01351" w:rsidP="00C93BA1">
      <w:pPr>
        <w:ind w:left="200"/>
        <w:jc w:val="both"/>
      </w:pPr>
      <w:r>
        <w:t>Основные положения политики в области вознаграждения и (или) компенсации расходов членов органов управления эмитента:</w:t>
      </w:r>
      <w:r>
        <w:br/>
      </w:r>
      <w:r>
        <w:rPr>
          <w:rStyle w:val="Subst"/>
        </w:rPr>
        <w:t>В отношении вознаграждения единоличного исполнительного органа (генерального директора) действует Положение о премировании ключевых руководителей Акционерного Общества «Новая перевозочная компании (АО «НПК»), утвержденное Протоколом Совета Директоров №1005 от 12 января 2021 года.</w:t>
      </w:r>
      <w:r>
        <w:rPr>
          <w:rStyle w:val="Subst"/>
        </w:rPr>
        <w:br/>
      </w:r>
      <w:r>
        <w:rPr>
          <w:rStyle w:val="Subst"/>
        </w:rPr>
        <w:br/>
        <w:t xml:space="preserve">На текущий момент эмитентом не разработано Положение о вознаграждении и компенсации расходов Совету директоров Общества. </w:t>
      </w:r>
      <w:r>
        <w:rPr>
          <w:rStyle w:val="Subst"/>
        </w:rPr>
        <w:br/>
      </w:r>
    </w:p>
    <w:p w14:paraId="6B7F0510" w14:textId="77777777" w:rsidR="00294767" w:rsidRDefault="00E01351">
      <w:pPr>
        <w:pStyle w:val="SubHeading"/>
        <w:ind w:left="200"/>
      </w:pPr>
      <w:r>
        <w:t>Вознаграждения</w:t>
      </w:r>
    </w:p>
    <w:p w14:paraId="02F21646" w14:textId="77777777" w:rsidR="00294767" w:rsidRDefault="00E01351">
      <w:pPr>
        <w:pStyle w:val="SubHeading"/>
        <w:ind w:left="400"/>
      </w:pPr>
      <w:r>
        <w:t>Совет директоров</w:t>
      </w:r>
    </w:p>
    <w:p w14:paraId="1C4D3ECB" w14:textId="77777777" w:rsidR="00294767" w:rsidRDefault="00E01351">
      <w:pPr>
        <w:ind w:left="600"/>
      </w:pPr>
      <w:r>
        <w:t>Единица измерения:</w:t>
      </w:r>
      <w:r>
        <w:rPr>
          <w:rStyle w:val="Subst"/>
        </w:rPr>
        <w:t xml:space="preserve"> тыс. руб.</w:t>
      </w:r>
    </w:p>
    <w:p w14:paraId="5A6EB089" w14:textId="77777777" w:rsidR="00294767" w:rsidRDefault="00294767">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94767" w14:paraId="15DA48C5" w14:textId="77777777">
        <w:tc>
          <w:tcPr>
            <w:tcW w:w="6492" w:type="dxa"/>
            <w:tcBorders>
              <w:top w:val="double" w:sz="6" w:space="0" w:color="auto"/>
              <w:left w:val="double" w:sz="6" w:space="0" w:color="auto"/>
              <w:bottom w:val="single" w:sz="6" w:space="0" w:color="auto"/>
              <w:right w:val="single" w:sz="6" w:space="0" w:color="auto"/>
            </w:tcBorders>
          </w:tcPr>
          <w:p w14:paraId="637770DA" w14:textId="77777777" w:rsidR="00294767" w:rsidRDefault="00E01351">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14:paraId="78314969" w14:textId="77777777" w:rsidR="00294767" w:rsidRDefault="00E01351">
            <w:pPr>
              <w:jc w:val="center"/>
            </w:pPr>
            <w:r>
              <w:t>2022</w:t>
            </w:r>
          </w:p>
        </w:tc>
      </w:tr>
      <w:tr w:rsidR="00294767" w14:paraId="71E8E257" w14:textId="77777777">
        <w:tc>
          <w:tcPr>
            <w:tcW w:w="6492" w:type="dxa"/>
            <w:tcBorders>
              <w:top w:val="single" w:sz="6" w:space="0" w:color="auto"/>
              <w:left w:val="double" w:sz="6" w:space="0" w:color="auto"/>
              <w:bottom w:val="single" w:sz="6" w:space="0" w:color="auto"/>
              <w:right w:val="single" w:sz="6" w:space="0" w:color="auto"/>
            </w:tcBorders>
          </w:tcPr>
          <w:p w14:paraId="72265859" w14:textId="77777777" w:rsidR="00294767" w:rsidRDefault="00E01351">
            <w:r>
              <w:t>Вознаграждение за участие в работе органа управления</w:t>
            </w:r>
          </w:p>
        </w:tc>
        <w:tc>
          <w:tcPr>
            <w:tcW w:w="2760" w:type="dxa"/>
            <w:tcBorders>
              <w:top w:val="single" w:sz="6" w:space="0" w:color="auto"/>
              <w:left w:val="single" w:sz="6" w:space="0" w:color="auto"/>
              <w:bottom w:val="single" w:sz="6" w:space="0" w:color="auto"/>
              <w:right w:val="double" w:sz="6" w:space="0" w:color="auto"/>
            </w:tcBorders>
          </w:tcPr>
          <w:p w14:paraId="441843AB" w14:textId="77777777" w:rsidR="00294767" w:rsidRDefault="00E01351">
            <w:pPr>
              <w:jc w:val="right"/>
            </w:pPr>
            <w:r>
              <w:t>0</w:t>
            </w:r>
          </w:p>
        </w:tc>
      </w:tr>
      <w:tr w:rsidR="00294767" w14:paraId="32E9EF30" w14:textId="77777777">
        <w:tc>
          <w:tcPr>
            <w:tcW w:w="6492" w:type="dxa"/>
            <w:tcBorders>
              <w:top w:val="single" w:sz="6" w:space="0" w:color="auto"/>
              <w:left w:val="double" w:sz="6" w:space="0" w:color="auto"/>
              <w:bottom w:val="single" w:sz="6" w:space="0" w:color="auto"/>
              <w:right w:val="single" w:sz="6" w:space="0" w:color="auto"/>
            </w:tcBorders>
          </w:tcPr>
          <w:p w14:paraId="0E40210A" w14:textId="77777777" w:rsidR="00294767" w:rsidRDefault="00E01351">
            <w:r>
              <w:t>Заработная плата</w:t>
            </w:r>
          </w:p>
        </w:tc>
        <w:tc>
          <w:tcPr>
            <w:tcW w:w="2760" w:type="dxa"/>
            <w:tcBorders>
              <w:top w:val="single" w:sz="6" w:space="0" w:color="auto"/>
              <w:left w:val="single" w:sz="6" w:space="0" w:color="auto"/>
              <w:bottom w:val="single" w:sz="6" w:space="0" w:color="auto"/>
              <w:right w:val="double" w:sz="6" w:space="0" w:color="auto"/>
            </w:tcBorders>
          </w:tcPr>
          <w:p w14:paraId="4D4032CE" w14:textId="77777777" w:rsidR="00294767" w:rsidRDefault="00E01351">
            <w:pPr>
              <w:jc w:val="right"/>
            </w:pPr>
            <w:r>
              <w:t>56 217</w:t>
            </w:r>
          </w:p>
        </w:tc>
      </w:tr>
      <w:tr w:rsidR="00294767" w14:paraId="253522D8" w14:textId="77777777">
        <w:tc>
          <w:tcPr>
            <w:tcW w:w="6492" w:type="dxa"/>
            <w:tcBorders>
              <w:top w:val="single" w:sz="6" w:space="0" w:color="auto"/>
              <w:left w:val="double" w:sz="6" w:space="0" w:color="auto"/>
              <w:bottom w:val="single" w:sz="6" w:space="0" w:color="auto"/>
              <w:right w:val="single" w:sz="6" w:space="0" w:color="auto"/>
            </w:tcBorders>
          </w:tcPr>
          <w:p w14:paraId="5389E2EC" w14:textId="77777777" w:rsidR="00294767" w:rsidRDefault="00E01351">
            <w:r>
              <w:t>Премии</w:t>
            </w:r>
          </w:p>
        </w:tc>
        <w:tc>
          <w:tcPr>
            <w:tcW w:w="2760" w:type="dxa"/>
            <w:tcBorders>
              <w:top w:val="single" w:sz="6" w:space="0" w:color="auto"/>
              <w:left w:val="single" w:sz="6" w:space="0" w:color="auto"/>
              <w:bottom w:val="single" w:sz="6" w:space="0" w:color="auto"/>
              <w:right w:val="double" w:sz="6" w:space="0" w:color="auto"/>
            </w:tcBorders>
          </w:tcPr>
          <w:p w14:paraId="6BD35372" w14:textId="77777777" w:rsidR="00294767" w:rsidRDefault="00E01351">
            <w:pPr>
              <w:jc w:val="right"/>
            </w:pPr>
            <w:r>
              <w:t>328 581</w:t>
            </w:r>
          </w:p>
        </w:tc>
      </w:tr>
      <w:tr w:rsidR="00294767" w14:paraId="05877ED5" w14:textId="77777777">
        <w:tc>
          <w:tcPr>
            <w:tcW w:w="6492" w:type="dxa"/>
            <w:tcBorders>
              <w:top w:val="single" w:sz="6" w:space="0" w:color="auto"/>
              <w:left w:val="double" w:sz="6" w:space="0" w:color="auto"/>
              <w:bottom w:val="single" w:sz="6" w:space="0" w:color="auto"/>
              <w:right w:val="single" w:sz="6" w:space="0" w:color="auto"/>
            </w:tcBorders>
          </w:tcPr>
          <w:p w14:paraId="028677A3" w14:textId="77777777" w:rsidR="00294767" w:rsidRDefault="00E01351">
            <w:r>
              <w:t>Комиссионные</w:t>
            </w:r>
          </w:p>
        </w:tc>
        <w:tc>
          <w:tcPr>
            <w:tcW w:w="2760" w:type="dxa"/>
            <w:tcBorders>
              <w:top w:val="single" w:sz="6" w:space="0" w:color="auto"/>
              <w:left w:val="single" w:sz="6" w:space="0" w:color="auto"/>
              <w:bottom w:val="single" w:sz="6" w:space="0" w:color="auto"/>
              <w:right w:val="double" w:sz="6" w:space="0" w:color="auto"/>
            </w:tcBorders>
          </w:tcPr>
          <w:p w14:paraId="7BA86068" w14:textId="77777777" w:rsidR="00294767" w:rsidRDefault="00E01351">
            <w:pPr>
              <w:jc w:val="right"/>
            </w:pPr>
            <w:r>
              <w:t>0</w:t>
            </w:r>
          </w:p>
        </w:tc>
      </w:tr>
      <w:tr w:rsidR="00294767" w14:paraId="18515DE3" w14:textId="77777777">
        <w:tc>
          <w:tcPr>
            <w:tcW w:w="6492" w:type="dxa"/>
            <w:tcBorders>
              <w:top w:val="single" w:sz="6" w:space="0" w:color="auto"/>
              <w:left w:val="double" w:sz="6" w:space="0" w:color="auto"/>
              <w:bottom w:val="single" w:sz="6" w:space="0" w:color="auto"/>
              <w:right w:val="single" w:sz="6" w:space="0" w:color="auto"/>
            </w:tcBorders>
          </w:tcPr>
          <w:p w14:paraId="3A195DF6" w14:textId="77777777" w:rsidR="00294767" w:rsidRDefault="00E01351">
            <w:r>
              <w:t>Иные виды вознаграждений</w:t>
            </w:r>
          </w:p>
        </w:tc>
        <w:tc>
          <w:tcPr>
            <w:tcW w:w="2760" w:type="dxa"/>
            <w:tcBorders>
              <w:top w:val="single" w:sz="6" w:space="0" w:color="auto"/>
              <w:left w:val="single" w:sz="6" w:space="0" w:color="auto"/>
              <w:bottom w:val="single" w:sz="6" w:space="0" w:color="auto"/>
              <w:right w:val="double" w:sz="6" w:space="0" w:color="auto"/>
            </w:tcBorders>
          </w:tcPr>
          <w:p w14:paraId="7A368320" w14:textId="77777777" w:rsidR="00294767" w:rsidRDefault="00E01351">
            <w:pPr>
              <w:jc w:val="right"/>
            </w:pPr>
            <w:r>
              <w:t>0</w:t>
            </w:r>
          </w:p>
        </w:tc>
      </w:tr>
      <w:tr w:rsidR="00294767" w14:paraId="5E4F863F" w14:textId="77777777">
        <w:tc>
          <w:tcPr>
            <w:tcW w:w="6492" w:type="dxa"/>
            <w:tcBorders>
              <w:top w:val="single" w:sz="6" w:space="0" w:color="auto"/>
              <w:left w:val="double" w:sz="6" w:space="0" w:color="auto"/>
              <w:bottom w:val="double" w:sz="6" w:space="0" w:color="auto"/>
              <w:right w:val="single" w:sz="6" w:space="0" w:color="auto"/>
            </w:tcBorders>
          </w:tcPr>
          <w:p w14:paraId="048B794D" w14:textId="77777777" w:rsidR="00294767" w:rsidRDefault="00E01351">
            <w:r>
              <w:t>ИТОГО</w:t>
            </w:r>
          </w:p>
        </w:tc>
        <w:tc>
          <w:tcPr>
            <w:tcW w:w="2760" w:type="dxa"/>
            <w:tcBorders>
              <w:top w:val="single" w:sz="6" w:space="0" w:color="auto"/>
              <w:left w:val="single" w:sz="6" w:space="0" w:color="auto"/>
              <w:bottom w:val="double" w:sz="6" w:space="0" w:color="auto"/>
              <w:right w:val="double" w:sz="6" w:space="0" w:color="auto"/>
            </w:tcBorders>
          </w:tcPr>
          <w:p w14:paraId="75B93C69" w14:textId="77777777" w:rsidR="00294767" w:rsidRDefault="00E01351">
            <w:pPr>
              <w:jc w:val="right"/>
            </w:pPr>
            <w:r>
              <w:t>384 798</w:t>
            </w:r>
          </w:p>
        </w:tc>
      </w:tr>
    </w:tbl>
    <w:p w14:paraId="01A69AB0" w14:textId="77777777" w:rsidR="00693A2B" w:rsidRDefault="00693A2B">
      <w:pPr>
        <w:pStyle w:val="SubHeading"/>
        <w:ind w:left="200"/>
      </w:pPr>
    </w:p>
    <w:p w14:paraId="6F89118D" w14:textId="77777777" w:rsidR="00294767" w:rsidRDefault="00E01351">
      <w:pPr>
        <w:pStyle w:val="SubHeading"/>
        <w:ind w:left="200"/>
      </w:pPr>
      <w:r>
        <w:t>Компенсации</w:t>
      </w:r>
    </w:p>
    <w:p w14:paraId="7873303A" w14:textId="77777777" w:rsidR="00294767" w:rsidRDefault="00E01351">
      <w:pPr>
        <w:ind w:left="400"/>
      </w:pPr>
      <w:r>
        <w:t>Единица измерения:</w:t>
      </w:r>
      <w:r>
        <w:rPr>
          <w:rStyle w:val="Subst"/>
        </w:rPr>
        <w:t xml:space="preserve"> тыс. руб.</w:t>
      </w:r>
    </w:p>
    <w:p w14:paraId="760E1CEC" w14:textId="77777777" w:rsidR="00294767" w:rsidRDefault="00294767">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94767" w14:paraId="1223AFF9" w14:textId="77777777">
        <w:tc>
          <w:tcPr>
            <w:tcW w:w="6492" w:type="dxa"/>
            <w:tcBorders>
              <w:top w:val="double" w:sz="6" w:space="0" w:color="auto"/>
              <w:left w:val="double" w:sz="6" w:space="0" w:color="auto"/>
              <w:bottom w:val="single" w:sz="6" w:space="0" w:color="auto"/>
              <w:right w:val="single" w:sz="6" w:space="0" w:color="auto"/>
            </w:tcBorders>
          </w:tcPr>
          <w:p w14:paraId="167893AE" w14:textId="77777777" w:rsidR="00294767" w:rsidRDefault="00E01351">
            <w:pPr>
              <w:jc w:val="center"/>
            </w:pPr>
            <w:r>
              <w:t>Наименование органа управления</w:t>
            </w:r>
          </w:p>
        </w:tc>
        <w:tc>
          <w:tcPr>
            <w:tcW w:w="2760" w:type="dxa"/>
            <w:tcBorders>
              <w:top w:val="double" w:sz="6" w:space="0" w:color="auto"/>
              <w:left w:val="single" w:sz="6" w:space="0" w:color="auto"/>
              <w:bottom w:val="single" w:sz="6" w:space="0" w:color="auto"/>
              <w:right w:val="double" w:sz="6" w:space="0" w:color="auto"/>
            </w:tcBorders>
          </w:tcPr>
          <w:p w14:paraId="2AC63D20" w14:textId="77777777" w:rsidR="00294767" w:rsidRDefault="00E01351">
            <w:pPr>
              <w:jc w:val="center"/>
            </w:pPr>
            <w:r>
              <w:t>2022</w:t>
            </w:r>
          </w:p>
        </w:tc>
      </w:tr>
      <w:tr w:rsidR="00294767" w14:paraId="2BEEB98D" w14:textId="77777777">
        <w:tc>
          <w:tcPr>
            <w:tcW w:w="6492" w:type="dxa"/>
            <w:tcBorders>
              <w:top w:val="single" w:sz="6" w:space="0" w:color="auto"/>
              <w:left w:val="double" w:sz="6" w:space="0" w:color="auto"/>
              <w:bottom w:val="double" w:sz="6" w:space="0" w:color="auto"/>
              <w:right w:val="single" w:sz="6" w:space="0" w:color="auto"/>
            </w:tcBorders>
          </w:tcPr>
          <w:p w14:paraId="7E229189" w14:textId="77777777" w:rsidR="00294767" w:rsidRDefault="00E01351">
            <w:r>
              <w:t>Совет директоров</w:t>
            </w:r>
          </w:p>
        </w:tc>
        <w:tc>
          <w:tcPr>
            <w:tcW w:w="2760" w:type="dxa"/>
            <w:tcBorders>
              <w:top w:val="single" w:sz="6" w:space="0" w:color="auto"/>
              <w:left w:val="single" w:sz="6" w:space="0" w:color="auto"/>
              <w:bottom w:val="double" w:sz="6" w:space="0" w:color="auto"/>
              <w:right w:val="double" w:sz="6" w:space="0" w:color="auto"/>
            </w:tcBorders>
          </w:tcPr>
          <w:p w14:paraId="0F3629D0" w14:textId="77777777" w:rsidR="00294767" w:rsidRDefault="00E01351">
            <w:pPr>
              <w:jc w:val="right"/>
            </w:pPr>
            <w:r>
              <w:t>0</w:t>
            </w:r>
          </w:p>
        </w:tc>
      </w:tr>
    </w:tbl>
    <w:p w14:paraId="0051176A" w14:textId="77777777" w:rsidR="00294767" w:rsidRDefault="00294767"/>
    <w:p w14:paraId="41FBF208" w14:textId="77777777" w:rsidR="00294767" w:rsidRDefault="00E01351" w:rsidP="005468A8">
      <w:pPr>
        <w:ind w:left="142" w:firstLine="567"/>
        <w:jc w:val="both"/>
      </w:pPr>
      <w:r>
        <w:rPr>
          <w:rStyle w:val="Subst"/>
        </w:rPr>
        <w:t>Решения о компенсации расходов членам Совета директоров Общества не принимались, компенсации членам Совета директоров Общества не выплачивались.</w:t>
      </w:r>
    </w:p>
    <w:p w14:paraId="79810368" w14:textId="77777777" w:rsidR="00294767" w:rsidRDefault="00E01351" w:rsidP="005468A8">
      <w:pPr>
        <w:ind w:left="142" w:firstLine="567"/>
        <w:jc w:val="both"/>
      </w:pPr>
      <w:r>
        <w:rPr>
          <w:rStyle w:val="Subst"/>
        </w:rPr>
        <w:t xml:space="preserve">Решения о выплате вознаграждения членам Совета директоров Общества за участие в органе управления не принимались, вознаграждения членам Совета директоров Общества за участие в органе управления не выплачивались. </w:t>
      </w:r>
      <w:r>
        <w:rPr>
          <w:rStyle w:val="Subst"/>
        </w:rPr>
        <w:br/>
      </w:r>
    </w:p>
    <w:p w14:paraId="656CA796" w14:textId="77777777" w:rsidR="00294767" w:rsidRDefault="00E01351">
      <w:pPr>
        <w:pStyle w:val="2"/>
      </w:pPr>
      <w:bookmarkStart w:id="35" w:name="_Toc133918785"/>
      <w:r>
        <w:lastRenderedPageBreak/>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bookmarkEnd w:id="35"/>
    </w:p>
    <w:p w14:paraId="14661A9C" w14:textId="77777777" w:rsidR="00294767" w:rsidRDefault="00294767">
      <w:pPr>
        <w:ind w:left="200"/>
      </w:pPr>
    </w:p>
    <w:p w14:paraId="2C17827A" w14:textId="77777777" w:rsidR="00294767" w:rsidRDefault="00E01351" w:rsidP="00693A2B">
      <w:pPr>
        <w:ind w:left="200"/>
        <w:jc w:val="both"/>
      </w:pPr>
      <w:r>
        <w:t>Описание организации в эмитенте управления рисками, контроля за финансово-хозяйственной деятельностью, внутреннего контроля и внутреннего аудита в соответствии с уставом (учредительным документом) эмитента, внутренними документами эмитента и решениями уполномоченных органов управления эмитента:</w:t>
      </w:r>
      <w:r>
        <w:br/>
      </w:r>
      <w:r>
        <w:rPr>
          <w:rStyle w:val="Subst"/>
        </w:rPr>
        <w:t xml:space="preserve">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«Положением о Ревизионной комиссии», утверждаемым общим собранием акционеров. </w:t>
      </w:r>
      <w:r>
        <w:rPr>
          <w:rStyle w:val="Subst"/>
        </w:rPr>
        <w:br/>
      </w:r>
      <w:r>
        <w:rPr>
          <w:rStyle w:val="Subst"/>
        </w:rPr>
        <w:br/>
        <w:t>Эмитентом сформировано отдельное структурное подразделение (подразделения) по управлению рисками - Отдел по управлению рисками.</w:t>
      </w:r>
      <w:r>
        <w:rPr>
          <w:rStyle w:val="Subst"/>
        </w:rPr>
        <w:br/>
      </w:r>
      <w:r>
        <w:rPr>
          <w:rStyle w:val="Subst"/>
        </w:rPr>
        <w:br/>
        <w:t xml:space="preserve">Эмитентом создано отдельное структурное подразделение (служба) внутреннего аудита - Департамент внутреннего аудита является структурным подразделением АО «НПК». </w:t>
      </w:r>
      <w:r>
        <w:rPr>
          <w:rStyle w:val="Subst"/>
        </w:rPr>
        <w:br/>
        <w:t>Департамент внутреннего аудита оказывает необходимое содействие Совету директоров АО «НПК» и исполнительному руководству АО «НПК» в выполнении их обязанностей по достижению целей Компании, в том числе стратегических, финансовых, операционных и правовых.</w:t>
      </w:r>
      <w:r>
        <w:rPr>
          <w:rStyle w:val="Subst"/>
        </w:rPr>
        <w:br/>
      </w:r>
    </w:p>
    <w:p w14:paraId="1CF557D1" w14:textId="77777777" w:rsidR="00294767" w:rsidRDefault="00E01351">
      <w:pPr>
        <w:ind w:left="200"/>
      </w:pPr>
      <w:r>
        <w:t>В обществе не образован комитет по аудиту совета директоров</w:t>
      </w:r>
    </w:p>
    <w:p w14:paraId="0B36AA12" w14:textId="77777777" w:rsidR="00294767" w:rsidRDefault="00E01351" w:rsidP="00C93BA1">
      <w:pPr>
        <w:ind w:left="200"/>
        <w:jc w:val="both"/>
      </w:pPr>
      <w:r>
        <w:t>Информация 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 подразделения (подразделений):</w:t>
      </w:r>
      <w:r>
        <w:br/>
      </w:r>
      <w:r>
        <w:rPr>
          <w:rStyle w:val="Subst"/>
        </w:rPr>
        <w:t xml:space="preserve">Эмитентом сформировано отдельное структурное подразделение (подразделения) по управлению рисками - Отдел по управлению рисками. </w:t>
      </w:r>
      <w:r>
        <w:rPr>
          <w:rStyle w:val="Subst"/>
        </w:rPr>
        <w:br/>
        <w:t xml:space="preserve">        Функции и задачи Отдела по управлению рисками:</w:t>
      </w:r>
      <w:r>
        <w:rPr>
          <w:rStyle w:val="Subst"/>
        </w:rPr>
        <w:br/>
        <w:t xml:space="preserve">        - организация и контроль процессов управления рисками;</w:t>
      </w:r>
      <w:r>
        <w:rPr>
          <w:rStyle w:val="Subst"/>
        </w:rPr>
        <w:br/>
        <w:t xml:space="preserve">        - обеспечение соответствия Системы управления рисками (далее – СУР) лучшей мировой практике;</w:t>
      </w:r>
      <w:r>
        <w:rPr>
          <w:rStyle w:val="Subst"/>
        </w:rPr>
        <w:br/>
        <w:t xml:space="preserve">        - формирование планов развития и совершенствования СУР;</w:t>
      </w:r>
      <w:r>
        <w:rPr>
          <w:rStyle w:val="Subst"/>
        </w:rPr>
        <w:br/>
        <w:t xml:space="preserve">        - формирование отчетности Комитету по Рискам при Генеральном Директоре;</w:t>
      </w:r>
      <w:r>
        <w:rPr>
          <w:rStyle w:val="Subst"/>
        </w:rPr>
        <w:br/>
        <w:t xml:space="preserve">        - организация выполнения годового Плана мероприятий по управлению рисками;</w:t>
      </w:r>
      <w:r>
        <w:rPr>
          <w:rStyle w:val="Subst"/>
        </w:rPr>
        <w:br/>
        <w:t xml:space="preserve">        - сбор, обработка и анализ информации по идентификации рисков, поступающей от структурных единиц Эмитента, анализ внешних источников информации, касающейся деятельности Эмитента;</w:t>
      </w:r>
      <w:r>
        <w:rPr>
          <w:rStyle w:val="Subst"/>
        </w:rPr>
        <w:br/>
        <w:t xml:space="preserve">        - разработка методик и процедур по контролю над параметрами рисков в соответствии с критериями и подходами лучшей мировой практики;</w:t>
      </w:r>
      <w:r>
        <w:rPr>
          <w:rStyle w:val="Subst"/>
        </w:rPr>
        <w:br/>
        <w:t xml:space="preserve">        - формирование стандартов в области управления рисками; формирование регламентирующих СУР документов, разработка системы отчетности по управлению рисками</w:t>
      </w:r>
      <w:r>
        <w:rPr>
          <w:rStyle w:val="Subst"/>
        </w:rPr>
        <w:br/>
        <w:t xml:space="preserve">        - создание единого информационного пространства, обеспечивающего функционирование СУР, внедрение коммуникативных норм в рамках корпоративного риск-менеджмента; </w:t>
      </w:r>
      <w:r>
        <w:rPr>
          <w:rStyle w:val="Subst"/>
        </w:rPr>
        <w:br/>
        <w:t xml:space="preserve">        - разработка программ обучения управлению рисками для руководства и сотрудников.</w:t>
      </w:r>
      <w:r>
        <w:rPr>
          <w:rStyle w:val="Subst"/>
        </w:rPr>
        <w:br/>
      </w:r>
    </w:p>
    <w:p w14:paraId="4B273068" w14:textId="77777777" w:rsidR="00294767" w:rsidRDefault="00E01351" w:rsidP="00C93BA1">
      <w:pPr>
        <w:ind w:left="200"/>
        <w:jc w:val="both"/>
      </w:pPr>
      <w:r>
        <w:t>Информация 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подразделения (должностного лица):</w:t>
      </w:r>
      <w:r>
        <w:br/>
      </w:r>
      <w:r>
        <w:rPr>
          <w:rStyle w:val="Subst"/>
        </w:rPr>
        <w:t>Эмитентом создано отдельное структурное подразделение (служба) внутреннего аудита -  Департамент внутреннего аудита является структурным подразделением АО «НПК».</w:t>
      </w:r>
      <w:r>
        <w:rPr>
          <w:rStyle w:val="Subst"/>
        </w:rPr>
        <w:br/>
        <w:t xml:space="preserve">        Департамент внутреннего аудита оказывает необходимое содействие Совету директоров АО «НПК»  и исполнительному руководству АО «НПК» в выполнении их обязанностей по достижению целей Компании, в том числе стратегических, финансовых, операционных и правовых.</w:t>
      </w:r>
      <w:r>
        <w:rPr>
          <w:rStyle w:val="Subst"/>
        </w:rPr>
        <w:br/>
      </w:r>
      <w:r>
        <w:rPr>
          <w:rStyle w:val="Subst"/>
        </w:rPr>
        <w:br/>
        <w:t xml:space="preserve">        Основной задачей департамента внутреннего аудита является участие  во взаимодействии с Советом директоров АО «НПК», Комитетом по аудиту Globaltrans Investment PLC и исполнительным руководством АО «НПК» в совершенствовании систем управления рисками, внутреннего контроля и корпоративного управления с целью обеспечения:</w:t>
      </w:r>
      <w:r>
        <w:rPr>
          <w:rStyle w:val="Subst"/>
        </w:rPr>
        <w:br/>
        <w:t xml:space="preserve">        •</w:t>
      </w:r>
      <w:r>
        <w:rPr>
          <w:rStyle w:val="Subst"/>
        </w:rPr>
        <w:tab/>
        <w:t>эффективности процесса управления рисками;</w:t>
      </w:r>
      <w:r>
        <w:rPr>
          <w:rStyle w:val="Subst"/>
        </w:rPr>
        <w:br/>
        <w:t xml:space="preserve">        •</w:t>
      </w:r>
      <w:r>
        <w:rPr>
          <w:rStyle w:val="Subst"/>
        </w:rPr>
        <w:tab/>
        <w:t xml:space="preserve">надежности и эффективности системы внутреннего контроля; </w:t>
      </w:r>
      <w:r>
        <w:rPr>
          <w:rStyle w:val="Subst"/>
        </w:rPr>
        <w:br/>
        <w:t xml:space="preserve">        •</w:t>
      </w:r>
      <w:r>
        <w:rPr>
          <w:rStyle w:val="Subst"/>
        </w:rPr>
        <w:tab/>
        <w:t xml:space="preserve">полноты и достоверности финансовой и управленческой информации; </w:t>
      </w:r>
      <w:r>
        <w:rPr>
          <w:rStyle w:val="Subst"/>
        </w:rPr>
        <w:br/>
        <w:t xml:space="preserve">        •</w:t>
      </w:r>
      <w:r>
        <w:rPr>
          <w:rStyle w:val="Subst"/>
        </w:rPr>
        <w:tab/>
        <w:t>соблюдения требований законодательства и внутренних нормативных документов АО «НПК».</w:t>
      </w:r>
      <w:r>
        <w:rPr>
          <w:rStyle w:val="Subst"/>
        </w:rPr>
        <w:br/>
      </w:r>
      <w:r>
        <w:rPr>
          <w:rStyle w:val="Subst"/>
        </w:rPr>
        <w:lastRenderedPageBreak/>
        <w:br/>
        <w:t xml:space="preserve">        Функциями внутреннего аудита АО «НПК» являются:</w:t>
      </w:r>
      <w:r>
        <w:rPr>
          <w:rStyle w:val="Subst"/>
        </w:rPr>
        <w:br/>
        <w:t xml:space="preserve">        •</w:t>
      </w:r>
      <w:r>
        <w:rPr>
          <w:rStyle w:val="Subst"/>
        </w:rPr>
        <w:tab/>
        <w:t>оценка эффективности системы внутреннего контроля;</w:t>
      </w:r>
      <w:r>
        <w:rPr>
          <w:rStyle w:val="Subst"/>
        </w:rPr>
        <w:br/>
        <w:t xml:space="preserve">        •</w:t>
      </w:r>
      <w:r>
        <w:rPr>
          <w:rStyle w:val="Subst"/>
        </w:rPr>
        <w:tab/>
        <w:t>оценка эффективности системы управления рисками;</w:t>
      </w:r>
      <w:r>
        <w:rPr>
          <w:rStyle w:val="Subst"/>
        </w:rPr>
        <w:br/>
        <w:t xml:space="preserve">        •</w:t>
      </w:r>
      <w:r>
        <w:rPr>
          <w:rStyle w:val="Subst"/>
        </w:rPr>
        <w:tab/>
        <w:t>оценка корпоративного управления;</w:t>
      </w:r>
      <w:r>
        <w:rPr>
          <w:rStyle w:val="Subst"/>
        </w:rPr>
        <w:br/>
        <w:t xml:space="preserve">        •</w:t>
      </w:r>
      <w:r>
        <w:rPr>
          <w:rStyle w:val="Subst"/>
        </w:rPr>
        <w:tab/>
        <w:t>консультирование по вопросам, связанным с организацией и повышением эффективности внутреннего контроля, управления рисками и корпоративного управления;</w:t>
      </w:r>
      <w:r>
        <w:rPr>
          <w:rStyle w:val="Subst"/>
        </w:rPr>
        <w:br/>
        <w:t xml:space="preserve">        •</w:t>
      </w:r>
      <w:r>
        <w:rPr>
          <w:rStyle w:val="Subst"/>
        </w:rPr>
        <w:tab/>
        <w:t>иные, не противоречащие целям и задачам внутреннего аудита функции.</w:t>
      </w:r>
    </w:p>
    <w:p w14:paraId="3978E4A4" w14:textId="77777777" w:rsidR="00294767" w:rsidRDefault="00294767">
      <w:pPr>
        <w:ind w:left="200"/>
      </w:pPr>
    </w:p>
    <w:p w14:paraId="6DE83FC4" w14:textId="77777777" w:rsidR="00294767" w:rsidRDefault="00E01351" w:rsidP="00C93BA1">
      <w:pPr>
        <w:ind w:left="200"/>
        <w:jc w:val="both"/>
      </w:pPr>
      <w:r>
        <w:t>Информация о наличии и компетенции ревизионной комиссии (ревизора):</w:t>
      </w:r>
      <w:r>
        <w:br/>
      </w:r>
      <w:r>
        <w:rPr>
          <w:rStyle w:val="Subst"/>
        </w:rPr>
        <w:t xml:space="preserve">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«Положением о Ревизионной комиссии», утверждаемым общим собранием акционеров. </w:t>
      </w:r>
      <w:r>
        <w:rPr>
          <w:rStyle w:val="Subst"/>
        </w:rPr>
        <w:br/>
        <w:t xml:space="preserve">        </w:t>
      </w:r>
      <w:r>
        <w:rPr>
          <w:rStyle w:val="Subst"/>
        </w:rPr>
        <w:br/>
        <w:t xml:space="preserve">        Ревизионная комиссия избирается в составе 5 человек общим собранием акционеров на срок до следующего годового общего собрания акционеров. </w:t>
      </w:r>
      <w:r>
        <w:rPr>
          <w:rStyle w:val="Subst"/>
        </w:rPr>
        <w:br/>
        <w:t xml:space="preserve">        Если по каким-либо причинам выборы Ревизионной комиссии на годовом общем собрании акционеров не состоялись, то полномочия действующего состава Ревизионной комиссии считаются истекшими и Обществом должно быть созвано внеочередное собрание акционеров для избрания нового состава Ревизионной комиссии.</w:t>
      </w:r>
      <w:r>
        <w:rPr>
          <w:rStyle w:val="Subst"/>
        </w:rPr>
        <w:br/>
        <w:t xml:space="preserve">        В случае, когда число членов Ревизионной комиссии становится менее 3 человек, Совет директоров обязан созвать внеочередное общее собрание акционеров для избрания нового состава Ревизионной комиссии. Оставшиеся члены Ревизионной комиссии осуществляют свои функции до избрания новой Ревизионной комиссии.</w:t>
      </w:r>
      <w:r>
        <w:rPr>
          <w:rStyle w:val="Subst"/>
        </w:rPr>
        <w:br/>
        <w:t xml:space="preserve">        Полномочия отдельных членов или всего состава Ревизионной комиссии могут быть прекращены досрочно решением общего собрания акционеров.</w:t>
      </w:r>
      <w:r>
        <w:rPr>
          <w:rStyle w:val="Subst"/>
        </w:rPr>
        <w:br/>
        <w:t xml:space="preserve">        Членом Ревизионной комиссии может быть избран, как акционер Общества, так и любое лицо, предложенное акционером, в соответствии с требованиями Федерального закона «Об акционерных обществах». Члены Ревизионной комиссии Общества не могут одновременно являться членами Совета директоров Общества, а также занимать иные должности в органах управления Общества. </w:t>
      </w:r>
      <w:r>
        <w:rPr>
          <w:rStyle w:val="Subst"/>
        </w:rPr>
        <w:br/>
      </w:r>
      <w:r>
        <w:rPr>
          <w:rStyle w:val="Subst"/>
        </w:rPr>
        <w:br/>
        <w:t xml:space="preserve">        В компетенцию Ревизионной комиссии Общества входит: </w:t>
      </w:r>
      <w:r>
        <w:rPr>
          <w:rStyle w:val="Subst"/>
        </w:rPr>
        <w:br/>
        <w:t xml:space="preserve">        •</w:t>
      </w:r>
      <w:r>
        <w:rPr>
          <w:rStyle w:val="Subst"/>
        </w:rPr>
        <w:tab/>
        <w:t>проверка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r>
        <w:rPr>
          <w:rStyle w:val="Subst"/>
        </w:rPr>
        <w:br/>
        <w:t xml:space="preserve">        •</w:t>
      </w:r>
      <w:r>
        <w:rPr>
          <w:rStyle w:val="Subst"/>
        </w:rPr>
        <w:tab/>
        <w:t>анализ правильности и полноты ведения бухгалтерского, налогового, управленческого и статистического учета;</w:t>
      </w:r>
      <w:r>
        <w:rPr>
          <w:rStyle w:val="Subst"/>
        </w:rPr>
        <w:br/>
        <w:t xml:space="preserve">        •</w:t>
      </w:r>
      <w:r>
        <w:rPr>
          <w:rStyle w:val="Subst"/>
        </w:rPr>
        <w:tab/>
        <w:t>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Обществом;</w:t>
      </w:r>
      <w:r>
        <w:rPr>
          <w:rStyle w:val="Subst"/>
        </w:rPr>
        <w:br/>
        <w:t xml:space="preserve">        •</w:t>
      </w:r>
      <w:r>
        <w:rPr>
          <w:rStyle w:val="Subst"/>
        </w:rPr>
        <w:tab/>
        <w:t>проверка своевременности и правильности платежей по заключенным сделкам, платежей в бюджет и внебюджетные фонды, начислений и выплат дивидендов, исполнения прочих обязательств;</w:t>
      </w:r>
      <w:r>
        <w:rPr>
          <w:rStyle w:val="Subst"/>
        </w:rPr>
        <w:br/>
        <w:t xml:space="preserve">        •</w:t>
      </w:r>
      <w:r>
        <w:rPr>
          <w:rStyle w:val="Subst"/>
        </w:rPr>
        <w:tab/>
        <w:t>подтверждение достоверности данных, включаемых в годовые отчеты Общества, годовую бухгалтерскую отчетность, отчеты о прибылях и убытках (счета прибылей и убытков), распределения прибыли, отчетной документации для налоговых и статистических органов, органов государственного управления;</w:t>
      </w:r>
      <w:r>
        <w:rPr>
          <w:rStyle w:val="Subst"/>
        </w:rPr>
        <w:br/>
        <w:t xml:space="preserve">        •</w:t>
      </w:r>
      <w:r>
        <w:rPr>
          <w:rStyle w:val="Subst"/>
        </w:rPr>
        <w:tab/>
        <w:t>проверка правильности исполнения бюджетов Общества, утверждаемых Советом директоров Общества;</w:t>
      </w:r>
      <w:r>
        <w:rPr>
          <w:rStyle w:val="Subst"/>
        </w:rPr>
        <w:br/>
        <w:t xml:space="preserve">        •</w:t>
      </w:r>
      <w:r>
        <w:rPr>
          <w:rStyle w:val="Subst"/>
        </w:rPr>
        <w:tab/>
        <w:t>проверка правильности исполнения порядка распределения прибыли общества за отчетный финансовый год, утвержденного общим собранием акционеров;</w:t>
      </w:r>
      <w:r>
        <w:rPr>
          <w:rStyle w:val="Subst"/>
        </w:rPr>
        <w:br/>
        <w:t xml:space="preserve">        •</w:t>
      </w:r>
      <w:r>
        <w:rPr>
          <w:rStyle w:val="Subst"/>
        </w:rPr>
        <w:tab/>
        <w:t>проверка правомочности единоличного исполнительного органа по совершенным от имени общества сделкам;</w:t>
      </w:r>
      <w:r>
        <w:rPr>
          <w:rStyle w:val="Subst"/>
        </w:rPr>
        <w:br/>
        <w:t xml:space="preserve">        •</w:t>
      </w:r>
      <w:r>
        <w:rPr>
          <w:rStyle w:val="Subst"/>
        </w:rPr>
        <w:tab/>
        <w:t>правовая экспертиза хозяйственных договоров, заключаемых Обществом;</w:t>
      </w:r>
      <w:r>
        <w:rPr>
          <w:rStyle w:val="Subst"/>
        </w:rPr>
        <w:br/>
        <w:t xml:space="preserve">        •</w:t>
      </w:r>
      <w:r>
        <w:rPr>
          <w:rStyle w:val="Subst"/>
        </w:rPr>
        <w:tab/>
        <w:t>проверка правомочности решений, принятых Советом директоров, исполнительным органом, ликвидационной комиссий, и их соответствия Уставу Общества, решениям общего собрания акционеров;</w:t>
      </w:r>
      <w:r>
        <w:rPr>
          <w:rStyle w:val="Subst"/>
        </w:rPr>
        <w:br/>
        <w:t xml:space="preserve">        •</w:t>
      </w:r>
      <w:r>
        <w:rPr>
          <w:rStyle w:val="Subst"/>
        </w:rPr>
        <w:tab/>
        <w:t>анализ заключенных крупных сделок, сделок, в совершении которых имеется заинтересованность, на предмет соответствия требованиям действующего законодательства Российской Федерации и Устава.</w:t>
      </w:r>
      <w:r>
        <w:rPr>
          <w:rStyle w:val="Subst"/>
        </w:rPr>
        <w:br/>
        <w:t xml:space="preserve">        Ревизионная комиссия вправе требовать созыва внеочередного общего собрания акционеров в случаях, когда выявление нарушения в финансово-хозяйственной деятельности или </w:t>
      </w:r>
      <w:r>
        <w:rPr>
          <w:rStyle w:val="Subst"/>
        </w:rPr>
        <w:lastRenderedPageBreak/>
        <w:t>реальная угроза интересам Общества требуют принятия решений по вопросам, относящимся к компетенции данных органов управления.</w:t>
      </w:r>
      <w:r>
        <w:rPr>
          <w:rStyle w:val="Subst"/>
        </w:rPr>
        <w:br/>
        <w:t xml:space="preserve">        Ревизионная комиссия вправе знакомиться со всеми необходимыми документами и материалами Общества, включая бухгалтерскую отчетность, документы о заключаемых обществом сделках и другие.</w:t>
      </w:r>
      <w:r>
        <w:rPr>
          <w:rStyle w:val="Subst"/>
        </w:rPr>
        <w:br/>
        <w:t xml:space="preserve">        Ревизионная комиссия имеет право требовать личного объяснения от членов Совета Директоров общества, единоличного исполнительного органа общества и других лиц, по вопросам, находящимся в компетенции ревизионной комиссии.</w:t>
      </w:r>
      <w:r>
        <w:rPr>
          <w:rStyle w:val="Subst"/>
        </w:rPr>
        <w:br/>
        <w:t xml:space="preserve">        По итогам проверки финансово-хозяйственной деятельности Общества Ревизионная комиссия составляет заключение.</w:t>
      </w:r>
      <w:r>
        <w:rPr>
          <w:rStyle w:val="Subst"/>
        </w:rPr>
        <w:br/>
      </w:r>
    </w:p>
    <w:p w14:paraId="01E33A64" w14:textId="77777777" w:rsidR="00294767" w:rsidRDefault="00294767">
      <w:pPr>
        <w:ind w:left="200"/>
      </w:pPr>
    </w:p>
    <w:p w14:paraId="0543CF4B" w14:textId="77777777" w:rsidR="00294767" w:rsidRDefault="00E01351" w:rsidP="00C93BA1">
      <w:pPr>
        <w:ind w:left="200"/>
        <w:jc w:val="both"/>
      </w:pPr>
      <w:r>
        <w:t>Политика эмитента в области управления рисками, внутреннего контроля и внутреннего аудита:</w:t>
      </w:r>
      <w:r>
        <w:br/>
      </w:r>
      <w:r>
        <w:rPr>
          <w:rStyle w:val="Subst"/>
        </w:rPr>
        <w:t xml:space="preserve">        Эмитентом внедрена система управления рисками, разработанная для определения и мониторинга событий, которые могут оказывать влияние на деятельность Эмитента, и управления связанными с этими событиями рисками, а также, минимизации и, по возможности, устранения потенциальных и текущих угроз для своего бизнеса. Утвержден формальный процесс определения, оценки и управления рисками. </w:t>
      </w:r>
      <w:r>
        <w:rPr>
          <w:rStyle w:val="Subst"/>
        </w:rPr>
        <w:br/>
        <w:t xml:space="preserve">        Перед системой управления рисками Эмитента поставлены следующие цели:</w:t>
      </w:r>
      <w:r>
        <w:rPr>
          <w:rStyle w:val="Subst"/>
        </w:rPr>
        <w:br/>
        <w:t xml:space="preserve">        - обеспечение выполнения долгосрочных планов Эмитента;</w:t>
      </w:r>
      <w:r>
        <w:rPr>
          <w:rStyle w:val="Subst"/>
        </w:rPr>
        <w:br/>
        <w:t xml:space="preserve">        - ограничение влияния негативных внешних и внутренних факторов экономической среды; </w:t>
      </w:r>
      <w:r>
        <w:rPr>
          <w:rStyle w:val="Subst"/>
        </w:rPr>
        <w:br/>
        <w:t xml:space="preserve">        - обеспечение разумной уверенности, что менеджмент Эмитента делает все возможное для ограничения негативного влияния потенциальных рисков Эмитента.</w:t>
      </w:r>
      <w:r>
        <w:rPr>
          <w:rStyle w:val="Subst"/>
        </w:rPr>
        <w:br/>
        <w:t xml:space="preserve">        Поскольку Эмитент является одним из ключевых предприятий Группы Глобалтранс, политика управления рисками Эмитента базируется на лучшей мировой практике в области корпоративного управления и управления рисками. Деятельность по управлению рисками является для Эмитента систематической, интегрированной в стратегическое и оперативное управление на всех уровнях, охватывающей все подразделения и сотрудников при осуществлении ими своих функций в рамках любых бизнес-процессов. Осуществляется постоянный мониторинг и управление рисками, с целью удержания их в допустимых пределах. Для поддержания оптимального функционирования системы Эмитентом регулярно проводится переоценка эффективности мер по управлению рисками. </w:t>
      </w:r>
      <w:r>
        <w:rPr>
          <w:rStyle w:val="Subst"/>
        </w:rPr>
        <w:br/>
        <w:t xml:space="preserve">        В целях управления рисками Эмитентом создан комитет по рискам при генеральном директоре, который формируется из ключевых руководителей Эмитента и выполняет следующие функции и задачи в рамках СУР:</w:t>
      </w:r>
      <w:r>
        <w:rPr>
          <w:rStyle w:val="Subst"/>
        </w:rPr>
        <w:br/>
        <w:t xml:space="preserve">        - формирование Стратегии Эмитента по управлению рисками;</w:t>
      </w:r>
      <w:r>
        <w:rPr>
          <w:rStyle w:val="Subst"/>
        </w:rPr>
        <w:br/>
        <w:t xml:space="preserve">        - определение показателей параметров для ранжирования рисков;</w:t>
      </w:r>
      <w:r>
        <w:rPr>
          <w:rStyle w:val="Subst"/>
        </w:rPr>
        <w:br/>
        <w:t xml:space="preserve">        - определение уровней риск - аппетита в бизнес-процессах;</w:t>
      </w:r>
      <w:r>
        <w:rPr>
          <w:rStyle w:val="Subst"/>
        </w:rPr>
        <w:br/>
        <w:t xml:space="preserve">        - приоритизация рисков;</w:t>
      </w:r>
      <w:r>
        <w:rPr>
          <w:rStyle w:val="Subst"/>
        </w:rPr>
        <w:br/>
        <w:t xml:space="preserve">        - формирование годового плана мероприятий по управлению рисками;</w:t>
      </w:r>
      <w:r>
        <w:rPr>
          <w:rStyle w:val="Subst"/>
        </w:rPr>
        <w:br/>
        <w:t xml:space="preserve">        - согласование реестра рисков;</w:t>
      </w:r>
      <w:r>
        <w:rPr>
          <w:rStyle w:val="Subst"/>
        </w:rPr>
        <w:br/>
        <w:t xml:space="preserve">        - контроль реализации плана мероприятий по управлению рисками;</w:t>
      </w:r>
      <w:r>
        <w:rPr>
          <w:rStyle w:val="Subst"/>
        </w:rPr>
        <w:br/>
        <w:t xml:space="preserve">        - анализ отчетности по управлению рисками, предоставляемой Отделом по управлению рисками;</w:t>
      </w:r>
      <w:r>
        <w:rPr>
          <w:rStyle w:val="Subst"/>
        </w:rPr>
        <w:br/>
        <w:t xml:space="preserve">        - утверждение регламентирующих документов по управлению рисками.</w:t>
      </w:r>
      <w:r>
        <w:rPr>
          <w:rStyle w:val="Subst"/>
        </w:rPr>
        <w:br/>
        <w:t xml:space="preserve">        Комитет по рискам при генеральном директоре не является отдельным структурным подразделением эмитента по управлению рисками и внутреннему контролю.</w:t>
      </w:r>
    </w:p>
    <w:p w14:paraId="1574363C" w14:textId="77777777" w:rsidR="00294767" w:rsidRDefault="00E01351" w:rsidP="00C93BA1">
      <w:pPr>
        <w:ind w:left="200"/>
        <w:jc w:val="both"/>
      </w:pPr>
      <w:r>
        <w:rPr>
          <w:rStyle w:val="Subst"/>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p>
    <w:p w14:paraId="265158EE" w14:textId="77777777" w:rsidR="00294767" w:rsidRDefault="00E01351" w:rsidP="00C93BA1">
      <w:pPr>
        <w:ind w:left="200"/>
        <w:jc w:val="both"/>
      </w:pPr>
      <w: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br/>
      </w:r>
      <w:r>
        <w:rPr>
          <w:rStyle w:val="Subst"/>
        </w:rPr>
        <w:t>В обществе приняты отдельные документы: Положение о порядке доступа к инсайдерской информации АО «Новая перевозочная компания», охраны её конфиденциальности и контроля за соблюдением требований действующего законодательства Российской Федерации (утверждено Протоколом СД № 396 от 08.02.2012 г.) и Положение о коммерческой тайне и защите конфиденциальной информации в АО "НПК" (утверждено Протоколом СД № 933 от 13.11.2019 г.)</w:t>
      </w:r>
    </w:p>
    <w:p w14:paraId="19CD7572" w14:textId="4FFD1712" w:rsidR="00294767" w:rsidRDefault="00E01351">
      <w:pPr>
        <w:ind w:left="200"/>
        <w:rPr>
          <w:rStyle w:val="Subst"/>
        </w:rPr>
      </w:pPr>
      <w:r>
        <w:t>Дополнительная информация:</w:t>
      </w:r>
      <w:r>
        <w:br/>
      </w:r>
      <w:r>
        <w:rPr>
          <w:rStyle w:val="Subst"/>
        </w:rPr>
        <w:t>нет</w:t>
      </w:r>
    </w:p>
    <w:p w14:paraId="3B6AFE15" w14:textId="58ED29CA" w:rsidR="005468A8" w:rsidRDefault="005468A8">
      <w:pPr>
        <w:ind w:left="200"/>
        <w:rPr>
          <w:rStyle w:val="Subst"/>
        </w:rPr>
      </w:pPr>
    </w:p>
    <w:p w14:paraId="1D6903C6" w14:textId="77777777" w:rsidR="005468A8" w:rsidRDefault="005468A8">
      <w:pPr>
        <w:ind w:left="200"/>
        <w:rPr>
          <w:rStyle w:val="Subst"/>
        </w:rPr>
      </w:pPr>
    </w:p>
    <w:p w14:paraId="7A1F6379" w14:textId="77777777" w:rsidR="00294767" w:rsidRDefault="00E01351">
      <w:pPr>
        <w:pStyle w:val="2"/>
      </w:pPr>
      <w:bookmarkStart w:id="36" w:name="_Toc133918786"/>
      <w:r>
        <w:lastRenderedPageBreak/>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bookmarkEnd w:id="36"/>
    </w:p>
    <w:p w14:paraId="21382556" w14:textId="77777777" w:rsidR="00294767" w:rsidRDefault="00294767">
      <w:pPr>
        <w:ind w:left="200"/>
      </w:pPr>
    </w:p>
    <w:p w14:paraId="01FD2698" w14:textId="77777777" w:rsidR="00294767" w:rsidRDefault="00E01351">
      <w:pPr>
        <w:pStyle w:val="SubHeading"/>
        <w:ind w:left="200"/>
      </w:pPr>
      <w:r>
        <w:t>Информация о ревизионной комиссии (ревизоре) эмитента</w:t>
      </w:r>
    </w:p>
    <w:p w14:paraId="67BE3A3B" w14:textId="77777777" w:rsidR="00294767" w:rsidRDefault="00E01351" w:rsidP="003A791A">
      <w:pPr>
        <w:ind w:left="400"/>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14:paraId="07CCDF4D" w14:textId="77777777" w:rsidR="00294767" w:rsidRPr="005468A8" w:rsidRDefault="00E01351">
      <w:pPr>
        <w:pStyle w:val="SubHeading"/>
        <w:ind w:left="400"/>
        <w:rPr>
          <w:b/>
        </w:rPr>
      </w:pPr>
      <w:r w:rsidRPr="005468A8">
        <w:rPr>
          <w:b/>
        </w:rPr>
        <w:t>Ревизионная комиссия</w:t>
      </w:r>
    </w:p>
    <w:p w14:paraId="0D7BD1AF" w14:textId="372FAC4E" w:rsidR="00994322" w:rsidRPr="00994322" w:rsidRDefault="00994322" w:rsidP="00994322">
      <w:pPr>
        <w:ind w:left="600"/>
      </w:pPr>
      <w:r w:rsidRPr="00994322">
        <w:t>Информация не раскрывается в соответствии с Постановлением Правительства от 12 марта 2022 года № 351.</w:t>
      </w:r>
    </w:p>
    <w:p w14:paraId="654A8959" w14:textId="77777777" w:rsidR="00294767" w:rsidRDefault="00E01351" w:rsidP="003A791A">
      <w:pPr>
        <w:pStyle w:val="SubHeading"/>
        <w:ind w:left="200"/>
        <w:jc w:val="both"/>
      </w:pPr>
      <w:r>
        <w:t>Сведения о руководителях отдельных структурных подразделений по управлению рисками и (или) внутреннему контролю, структурных подразделений (должностных лицах), ответственного за организацию и осуществление внутреннего аудита</w:t>
      </w:r>
    </w:p>
    <w:p w14:paraId="7783FFCF" w14:textId="77777777" w:rsidR="00294767" w:rsidRDefault="00E01351">
      <w:pPr>
        <w:ind w:left="400"/>
      </w:pPr>
      <w:r>
        <w:t>Наименование органа контроля за финансово-хозяйственной деятельностью эмитента:</w:t>
      </w:r>
      <w:r>
        <w:rPr>
          <w:rStyle w:val="Subst"/>
        </w:rPr>
        <w:t xml:space="preserve"> Департамент внутреннего аудита</w:t>
      </w:r>
    </w:p>
    <w:p w14:paraId="1DF9984B" w14:textId="77777777" w:rsidR="00294767" w:rsidRDefault="00E01351">
      <w:pPr>
        <w:pStyle w:val="SubHeading"/>
        <w:ind w:left="400"/>
      </w:pPr>
      <w:r>
        <w:t>Информация о руководителе такого отдельного структурного подразделения (органа) эмитента</w:t>
      </w:r>
    </w:p>
    <w:p w14:paraId="0B5444E6" w14:textId="77777777" w:rsidR="00294767" w:rsidRDefault="00E01351" w:rsidP="005468A8">
      <w:pPr>
        <w:ind w:left="426" w:firstLine="284"/>
      </w:pPr>
      <w:r>
        <w:t>Наименование должности руководителя структурного подразделения:</w:t>
      </w:r>
      <w:r>
        <w:rPr>
          <w:rStyle w:val="Subst"/>
        </w:rPr>
        <w:t xml:space="preserve"> Начальник департамента внутреннего аудита</w:t>
      </w:r>
    </w:p>
    <w:p w14:paraId="0FAEC0CA" w14:textId="1F677449" w:rsidR="00994322" w:rsidRPr="00084CA0" w:rsidRDefault="00994322" w:rsidP="00994322">
      <w:pPr>
        <w:ind w:left="600"/>
      </w:pPr>
      <w:r w:rsidRPr="00084CA0">
        <w:t>Информация не раскрывается в соответствии с Постановлением Правительства от 12 марта 2022 года № 351.</w:t>
      </w:r>
    </w:p>
    <w:p w14:paraId="5F5FD498" w14:textId="77777777" w:rsidR="00994322" w:rsidRDefault="00994322">
      <w:pPr>
        <w:ind w:left="600"/>
        <w:rPr>
          <w:highlight w:val="red"/>
        </w:rPr>
      </w:pPr>
    </w:p>
    <w:p w14:paraId="7070CC54" w14:textId="77777777" w:rsidR="00294767" w:rsidRDefault="00E01351">
      <w:pPr>
        <w:ind w:left="400"/>
      </w:pPr>
      <w:r>
        <w:t>Наименование органа контроля за финансово-хозяйственной деятельностью эмитента:</w:t>
      </w:r>
      <w:r>
        <w:rPr>
          <w:rStyle w:val="Subst"/>
        </w:rPr>
        <w:t xml:space="preserve"> Отдел по управлению рисками</w:t>
      </w:r>
    </w:p>
    <w:p w14:paraId="325B9460" w14:textId="77777777" w:rsidR="00294767" w:rsidRDefault="00E01351">
      <w:pPr>
        <w:pStyle w:val="SubHeading"/>
        <w:ind w:left="400"/>
      </w:pPr>
      <w:r>
        <w:t>Информация о руководителе такого отдельного структурного подразделения (органа) эмитента</w:t>
      </w:r>
    </w:p>
    <w:p w14:paraId="7E57E30A" w14:textId="77777777" w:rsidR="00294767" w:rsidRDefault="00E01351" w:rsidP="003A791A">
      <w:pPr>
        <w:ind w:left="600"/>
        <w:jc w:val="both"/>
      </w:pPr>
      <w:r>
        <w:t>Наименование должности руководителя структурного подразделения:</w:t>
      </w:r>
      <w:r>
        <w:rPr>
          <w:rStyle w:val="Subst"/>
        </w:rPr>
        <w:t xml:space="preserve"> Начальник Отдела по управлению рисками</w:t>
      </w:r>
    </w:p>
    <w:p w14:paraId="5DCEA9B0" w14:textId="21BC3B1D" w:rsidR="00994322" w:rsidRPr="00084CA0" w:rsidRDefault="00994322" w:rsidP="00994322">
      <w:pPr>
        <w:ind w:left="600"/>
        <w:jc w:val="both"/>
      </w:pPr>
      <w:r w:rsidRPr="00084CA0">
        <w:t>Информация не раскрывается в соответствии с Постановлением Правительства от 12 марта 2022 года № 351.</w:t>
      </w:r>
    </w:p>
    <w:p w14:paraId="6E705218" w14:textId="77777777" w:rsidR="00994322" w:rsidRDefault="00994322" w:rsidP="003A791A">
      <w:pPr>
        <w:ind w:left="600"/>
        <w:jc w:val="both"/>
        <w:rPr>
          <w:highlight w:val="red"/>
        </w:rPr>
      </w:pPr>
    </w:p>
    <w:p w14:paraId="050936D4" w14:textId="77777777" w:rsidR="00294767" w:rsidRDefault="00E01351">
      <w:pPr>
        <w:pStyle w:val="2"/>
      </w:pPr>
      <w:bookmarkStart w:id="37" w:name="_Toc133918787"/>
      <w: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bookmarkEnd w:id="37"/>
    </w:p>
    <w:p w14:paraId="4D891032" w14:textId="77777777" w:rsidR="00294767" w:rsidRDefault="00E01351" w:rsidP="003A791A">
      <w:pPr>
        <w:ind w:left="200"/>
        <w:jc w:val="both"/>
      </w:pPr>
      <w:r>
        <w:rPr>
          <w:rStyle w:val="Subst"/>
        </w:rPr>
        <w:t>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эмитенту организаций в уставном капитале, отсутствуют</w:t>
      </w:r>
    </w:p>
    <w:p w14:paraId="1E3F3C50" w14:textId="77777777" w:rsidR="00294767" w:rsidRDefault="00294767">
      <w:pPr>
        <w:ind w:left="200"/>
      </w:pPr>
    </w:p>
    <w:p w14:paraId="7AF97CFC" w14:textId="77777777" w:rsidR="00294767" w:rsidRDefault="00E01351" w:rsidP="003A791A">
      <w:pPr>
        <w:ind w:left="200"/>
        <w:jc w:val="both"/>
      </w:pPr>
      <w:r>
        <w:t>В случае если имеют место любые 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эмитенту организаций в его уставном капитале, указываются сведения о заключении таких соглашений или обязательств, их общий объем, а также совокупная доля участия в уставном капитале эмитента (совокупное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работниками эмитента и работниками подконтрольных эмитенту организаций, или указывается на отсутствие таких соглашений или обязательств. Для эмитентов, являющихся акционерными обществами, дополнительно раскрываются сведения о предоставлении или возможности предоставления работникам эмитента и работникам подконтрольных эмитенту организаций ценных бумаг, конвертируемых в акции эмитента.</w:t>
      </w:r>
    </w:p>
    <w:p w14:paraId="16C74AFE" w14:textId="77777777" w:rsidR="00B55583" w:rsidRDefault="00B55583">
      <w:pPr>
        <w:pStyle w:val="1"/>
      </w:pPr>
      <w:bookmarkStart w:id="38" w:name="_Toc133918788"/>
    </w:p>
    <w:p w14:paraId="503CCB07" w14:textId="06917F24" w:rsidR="00294767" w:rsidRDefault="00E01351">
      <w:pPr>
        <w:pStyle w:val="1"/>
      </w:pPr>
      <w:r>
        <w:lastRenderedPageBreak/>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bookmarkEnd w:id="38"/>
    </w:p>
    <w:p w14:paraId="4745B292" w14:textId="77777777" w:rsidR="00294767" w:rsidRDefault="00E01351">
      <w:pPr>
        <w:pStyle w:val="2"/>
      </w:pPr>
      <w:bookmarkStart w:id="39" w:name="_Toc133918789"/>
      <w:r>
        <w:t>3.1. Сведения об общем количестве акционеров (участников, членов) эмитента</w:t>
      </w:r>
      <w:bookmarkEnd w:id="39"/>
    </w:p>
    <w:p w14:paraId="57E05B83" w14:textId="77777777" w:rsidR="00294767" w:rsidRDefault="00E01351" w:rsidP="003A791A">
      <w:pPr>
        <w:ind w:left="200"/>
        <w:jc w:val="both"/>
      </w:pPr>
      <w:r>
        <w:rPr>
          <w:rStyle w:val="Subst"/>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p>
    <w:p w14:paraId="55238D93" w14:textId="77777777" w:rsidR="00294767" w:rsidRDefault="00E01351" w:rsidP="003A791A">
      <w:pPr>
        <w:ind w:left="200"/>
        <w:jc w:val="both"/>
      </w:pPr>
      <w:r>
        <w:t>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периода:</w:t>
      </w:r>
      <w:r>
        <w:rPr>
          <w:rStyle w:val="Subst"/>
        </w:rPr>
        <w:t xml:space="preserve"> 1</w:t>
      </w:r>
    </w:p>
    <w:p w14:paraId="4FFB2A33" w14:textId="77777777" w:rsidR="00294767" w:rsidRDefault="00E01351" w:rsidP="003A791A">
      <w:pPr>
        <w:ind w:left="200"/>
        <w:jc w:val="both"/>
      </w:pPr>
      <w:r>
        <w:t>Общее количество номинальных держателей акций эмитента:</w:t>
      </w:r>
      <w:r>
        <w:rPr>
          <w:rStyle w:val="Subst"/>
        </w:rPr>
        <w:t xml:space="preserve"> 0</w:t>
      </w:r>
    </w:p>
    <w:p w14:paraId="718ED2A5" w14:textId="77777777" w:rsidR="00294767" w:rsidRDefault="00294767" w:rsidP="003A791A">
      <w:pPr>
        <w:pStyle w:val="ThinDelim"/>
        <w:jc w:val="both"/>
      </w:pPr>
    </w:p>
    <w:p w14:paraId="0F340845" w14:textId="77777777" w:rsidR="00294767" w:rsidRDefault="00E01351" w:rsidP="003A791A">
      <w:pPr>
        <w:ind w:left="200"/>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или иной имеющийся у эмитента список,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w:t>
      </w:r>
    </w:p>
    <w:p w14:paraId="5A2DEA26" w14:textId="77777777" w:rsidR="00294767" w:rsidRDefault="00E01351" w:rsidP="003A791A">
      <w:pPr>
        <w:ind w:left="200"/>
        <w:jc w:val="both"/>
      </w:pPr>
      <w:r>
        <w:t>Дата, на которую в данном списке указывались лица, имеющие право осуществлять права по акциям эмитента:</w:t>
      </w:r>
      <w:r>
        <w:rPr>
          <w:rStyle w:val="Subst"/>
        </w:rPr>
        <w:t xml:space="preserve"> 28.12.2022</w:t>
      </w:r>
    </w:p>
    <w:p w14:paraId="2E7C9EA7" w14:textId="77777777" w:rsidR="00294767" w:rsidRDefault="00E01351" w:rsidP="003A791A">
      <w:pPr>
        <w:ind w:left="200"/>
        <w:jc w:val="both"/>
      </w:pPr>
      <w:r>
        <w:t>Владельцы обыкновенных акций эмитента, которые подлежали включению в такой список:</w:t>
      </w:r>
      <w:r>
        <w:rPr>
          <w:rStyle w:val="Subst"/>
        </w:rPr>
        <w:t xml:space="preserve"> 1</w:t>
      </w:r>
    </w:p>
    <w:p w14:paraId="7DDF4741" w14:textId="77777777" w:rsidR="00294767" w:rsidRDefault="00E01351" w:rsidP="003A791A">
      <w:pPr>
        <w:pStyle w:val="SubHeading"/>
        <w:ind w:left="200"/>
        <w:jc w:val="both"/>
      </w:pPr>
      <w:r>
        <w:t>Информация о количестве акций, приобретенных и (или) выкупленных эмитентом, и (или) поступивших в его распоряжение, на дату окончания отчетного периода, отдельно по каждой категории (типу) акций</w:t>
      </w:r>
    </w:p>
    <w:p w14:paraId="79BD799A" w14:textId="77777777" w:rsidR="00294767" w:rsidRDefault="00E01351" w:rsidP="003A791A">
      <w:pPr>
        <w:ind w:left="400"/>
        <w:jc w:val="both"/>
      </w:pPr>
      <w:r>
        <w:rPr>
          <w:rStyle w:val="Subst"/>
        </w:rPr>
        <w:t>Собственных акций, находящихся на балансе эмитента нет</w:t>
      </w:r>
    </w:p>
    <w:p w14:paraId="74EF05D9" w14:textId="77777777" w:rsidR="00294767" w:rsidRDefault="00E01351" w:rsidP="003A791A">
      <w:pPr>
        <w:pStyle w:val="SubHeading"/>
        <w:ind w:left="200"/>
        <w:jc w:val="both"/>
      </w:pPr>
      <w:r>
        <w:t>Информация о количестве акций эмитента, принадлежащих подконтрольным ему организациям</w:t>
      </w:r>
    </w:p>
    <w:p w14:paraId="10C04E3F" w14:textId="77777777" w:rsidR="00294767" w:rsidRDefault="00E01351" w:rsidP="003A791A">
      <w:pPr>
        <w:ind w:left="400"/>
        <w:jc w:val="both"/>
      </w:pPr>
      <w:r>
        <w:rPr>
          <w:rStyle w:val="Subst"/>
        </w:rPr>
        <w:t>Акций эмитента, принадлежащих подконтрольным ему организациям нет</w:t>
      </w:r>
    </w:p>
    <w:p w14:paraId="3C867677" w14:textId="77777777" w:rsidR="00294767" w:rsidRDefault="00E01351">
      <w:pPr>
        <w:pStyle w:val="2"/>
      </w:pPr>
      <w:bookmarkStart w:id="40" w:name="_Toc133918790"/>
      <w: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bookmarkEnd w:id="40"/>
    </w:p>
    <w:p w14:paraId="0D7B9A2F" w14:textId="77777777" w:rsidR="00294767" w:rsidRDefault="00E01351" w:rsidP="003A791A">
      <w:pPr>
        <w:ind w:left="200"/>
        <w:jc w:val="both"/>
      </w:pPr>
      <w:r>
        <w:rPr>
          <w:rStyle w:val="Subst"/>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p>
    <w:p w14:paraId="59D6C694" w14:textId="77777777" w:rsidR="00294767" w:rsidRDefault="00294767">
      <w:pPr>
        <w:ind w:left="200"/>
      </w:pPr>
    </w:p>
    <w:p w14:paraId="1F8CFCE0" w14:textId="77777777" w:rsidR="00294767" w:rsidRDefault="00E01351">
      <w:pPr>
        <w:ind w:left="200"/>
      </w:pPr>
      <w:r>
        <w:rPr>
          <w:rStyle w:val="Subst"/>
        </w:rPr>
        <w:t>1.</w:t>
      </w:r>
    </w:p>
    <w:p w14:paraId="7ECDE06F" w14:textId="77777777" w:rsidR="00294767" w:rsidRDefault="00E01351">
      <w:pPr>
        <w:ind w:left="200"/>
      </w:pPr>
      <w:r>
        <w:t>Полное фирменное наименование:</w:t>
      </w:r>
      <w:r>
        <w:rPr>
          <w:rStyle w:val="Subst"/>
        </w:rPr>
        <w:t xml:space="preserve"> Компания «ГЛОБАЛТРАНС ИНВЕСТМЕНТ ПЛС» (GLOBALTRANS INVESTMENT PLC)</w:t>
      </w:r>
    </w:p>
    <w:p w14:paraId="3B27F1F8" w14:textId="77777777" w:rsidR="00294767" w:rsidRDefault="00E01351">
      <w:pPr>
        <w:ind w:left="200"/>
      </w:pPr>
      <w:r>
        <w:t>Сокращенное фирменное наименование:</w:t>
      </w:r>
      <w:r>
        <w:rPr>
          <w:rStyle w:val="Subst"/>
        </w:rPr>
        <w:t xml:space="preserve"> Компания «ГЛОБАЛТРАНС ИНВЕСТМЕНТ ПЛС» (GLOBALTRANS INVESTMENT PLC)</w:t>
      </w:r>
    </w:p>
    <w:p w14:paraId="067A8373" w14:textId="77777777" w:rsidR="00294767" w:rsidRDefault="00E01351">
      <w:pPr>
        <w:pStyle w:val="SubHeading"/>
        <w:ind w:left="200"/>
      </w:pPr>
      <w:r>
        <w:t>Место нахождения</w:t>
      </w:r>
    </w:p>
    <w:p w14:paraId="251189C7" w14:textId="77777777" w:rsidR="00294767" w:rsidRDefault="00E01351">
      <w:pPr>
        <w:ind w:left="400"/>
      </w:pPr>
      <w:r>
        <w:rPr>
          <w:rStyle w:val="Subst"/>
        </w:rPr>
        <w:t>Кипр, Лимассол, Омиру 20, Агиос Николаос, П/К 3095</w:t>
      </w:r>
    </w:p>
    <w:p w14:paraId="2CDF5735" w14:textId="77777777" w:rsidR="00294767" w:rsidRDefault="00E01351">
      <w:pPr>
        <w:ind w:left="200"/>
      </w:pPr>
      <w:r>
        <w:rPr>
          <w:rStyle w:val="Subst"/>
        </w:rPr>
        <w:t>ИНН не присвоен</w:t>
      </w:r>
    </w:p>
    <w:p w14:paraId="0F2163C6" w14:textId="77777777" w:rsidR="00294767" w:rsidRDefault="00E01351">
      <w:pPr>
        <w:ind w:left="200"/>
      </w:pPr>
      <w:r>
        <w:rPr>
          <w:rStyle w:val="Subst"/>
        </w:rPr>
        <w:t>ОГРН не присвоен</w:t>
      </w:r>
    </w:p>
    <w:p w14:paraId="0EFD5C67" w14:textId="77777777" w:rsidR="00294767" w:rsidRDefault="00E01351" w:rsidP="003A791A">
      <w:pPr>
        <w:ind w:left="200"/>
        <w:jc w:val="both"/>
      </w:pPr>
      <w: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Pr>
          <w:rStyle w:val="Subst"/>
        </w:rPr>
        <w:t xml:space="preserve"> 100</w:t>
      </w:r>
    </w:p>
    <w:p w14:paraId="28CE9B1C" w14:textId="77777777" w:rsidR="00294767" w:rsidRDefault="00E01351" w:rsidP="003A791A">
      <w:pPr>
        <w:ind w:left="200"/>
        <w:jc w:val="both"/>
      </w:pPr>
      <w: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Pr>
          <w:rStyle w:val="Subst"/>
        </w:rPr>
        <w:t xml:space="preserve"> прямое распоряжение</w:t>
      </w:r>
    </w:p>
    <w:p w14:paraId="192143C9" w14:textId="77777777" w:rsidR="00294767" w:rsidRDefault="00E01351" w:rsidP="003A791A">
      <w:pPr>
        <w:ind w:left="200"/>
        <w:jc w:val="both"/>
      </w:pPr>
      <w: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Pr>
          <w:rStyle w:val="Subst"/>
        </w:rPr>
        <w:t xml:space="preserve"> Самостоятельное распоряжение</w:t>
      </w:r>
    </w:p>
    <w:p w14:paraId="2C323BDB" w14:textId="77777777" w:rsidR="00294767" w:rsidRDefault="00E01351" w:rsidP="003A791A">
      <w:pPr>
        <w:ind w:left="200"/>
        <w:jc w:val="both"/>
      </w:pPr>
      <w:r>
        <w:lastRenderedPageBreak/>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Pr>
          <w:rStyle w:val="Subst"/>
        </w:rPr>
        <w:t xml:space="preserve"> Участие в эмитенте (100 %)</w:t>
      </w:r>
    </w:p>
    <w:p w14:paraId="1E2EFF20" w14:textId="77777777" w:rsidR="00294767" w:rsidRDefault="00E01351" w:rsidP="003A791A">
      <w:pPr>
        <w:ind w:left="200"/>
        <w:jc w:val="both"/>
      </w:pPr>
      <w:r>
        <w:t>Иные сведения, указываемые эмитентом по собственному усмотрению:</w:t>
      </w:r>
      <w:r>
        <w:br/>
      </w:r>
      <w:r>
        <w:rPr>
          <w:rStyle w:val="Subst"/>
        </w:rPr>
        <w:t>Компания «ГЛОБАЛТРАНС ИНВЕСТМЕНТ ПЛС» (GLOBALTRANS INVESTMENT PLC) является нерезедентом, поэтому ИНН, ОГРН не присвоен</w:t>
      </w:r>
    </w:p>
    <w:p w14:paraId="334904C2" w14:textId="77777777" w:rsidR="00294767" w:rsidRDefault="00E01351">
      <w:pPr>
        <w:pStyle w:val="2"/>
      </w:pPr>
      <w:bookmarkStart w:id="41" w:name="_Toc133918791"/>
      <w:r>
        <w:t>3.3. Сведения о доле участия Российской Федерации, субъекта Российской Федерации или муниципального образования в уставном капитале эмитента, наличии специального права (золотой акции)</w:t>
      </w:r>
      <w:bookmarkEnd w:id="41"/>
    </w:p>
    <w:p w14:paraId="134865CA" w14:textId="77777777" w:rsidR="00294767" w:rsidRDefault="00E01351">
      <w:pPr>
        <w:ind w:left="200"/>
      </w:pPr>
      <w:r>
        <w:rPr>
          <w:rStyle w:val="Subst"/>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p>
    <w:p w14:paraId="5B75ABA8" w14:textId="77777777" w:rsidR="00294767" w:rsidRDefault="00E01351" w:rsidP="003A791A">
      <w:pPr>
        <w:ind w:left="200"/>
        <w:jc w:val="both"/>
      </w:pPr>
      <w:r>
        <w:rPr>
          <w:rStyle w:val="Subst"/>
        </w:rPr>
        <w:t>В уставном капитале эмитента нет долей, находящихся в государственной (федеральной) собственности</w:t>
      </w:r>
    </w:p>
    <w:p w14:paraId="4C472B7D" w14:textId="77777777" w:rsidR="00294767" w:rsidRDefault="00E01351" w:rsidP="003A791A">
      <w:pPr>
        <w:ind w:left="200"/>
        <w:jc w:val="both"/>
      </w:pPr>
      <w:r>
        <w:rPr>
          <w:rStyle w:val="Subst"/>
        </w:rPr>
        <w:t>В уставном капитале эмитента нет долей, находящихся в собственности субъектов Российской Федерации</w:t>
      </w:r>
    </w:p>
    <w:p w14:paraId="615C43FB" w14:textId="77777777" w:rsidR="00294767" w:rsidRDefault="00E01351" w:rsidP="003A791A">
      <w:pPr>
        <w:ind w:left="200"/>
        <w:jc w:val="both"/>
      </w:pPr>
      <w:r>
        <w:rPr>
          <w:rStyle w:val="Subst"/>
        </w:rPr>
        <w:t>В уставном капитале эмитента нет долей, находящихся в муниципальной собственности</w:t>
      </w:r>
    </w:p>
    <w:p w14:paraId="2BA8F1C4" w14:textId="77777777" w:rsidR="00294767" w:rsidRDefault="00E01351" w:rsidP="003A791A">
      <w:pPr>
        <w:pStyle w:val="SubHeading"/>
        <w:ind w:left="200"/>
        <w:jc w:val="both"/>
      </w:pPr>
      <w:r>
        <w:t>Сведения об управляющих государственными, муниципальными пакетами акций</w:t>
      </w:r>
    </w:p>
    <w:p w14:paraId="0B4FB02B" w14:textId="77777777" w:rsidR="00294767" w:rsidRDefault="00E01351" w:rsidP="003A791A">
      <w:pPr>
        <w:ind w:left="400"/>
        <w:jc w:val="both"/>
      </w:pPr>
      <w:r>
        <w:rPr>
          <w:rStyle w:val="Subst"/>
        </w:rPr>
        <w:t>Указанных лиц нет</w:t>
      </w:r>
    </w:p>
    <w:p w14:paraId="0B260B6F" w14:textId="77777777" w:rsidR="00294767" w:rsidRDefault="00E01351" w:rsidP="003A791A">
      <w:pPr>
        <w:pStyle w:val="SubHeading"/>
        <w:ind w:left="200"/>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14:paraId="4D916270" w14:textId="77777777" w:rsidR="00294767" w:rsidRDefault="00E01351" w:rsidP="003A791A">
      <w:pPr>
        <w:ind w:left="400"/>
        <w:jc w:val="both"/>
      </w:pPr>
      <w:r>
        <w:rPr>
          <w:rStyle w:val="Subst"/>
        </w:rPr>
        <w:t>Указанных лиц нет</w:t>
      </w:r>
    </w:p>
    <w:p w14:paraId="5D7A369B" w14:textId="77777777" w:rsidR="00294767" w:rsidRDefault="00E01351" w:rsidP="003A791A">
      <w:pPr>
        <w:pStyle w:val="SubHeading"/>
        <w:ind w:left="200"/>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14:paraId="348DC2EF" w14:textId="77777777" w:rsidR="00294767" w:rsidRDefault="00E01351">
      <w:pPr>
        <w:ind w:left="400"/>
      </w:pPr>
      <w:r>
        <w:rPr>
          <w:rStyle w:val="Subst"/>
        </w:rPr>
        <w:t>Указанное право не предусмотрено</w:t>
      </w:r>
    </w:p>
    <w:p w14:paraId="3D7C1082" w14:textId="77777777" w:rsidR="00294767" w:rsidRDefault="00E01351">
      <w:pPr>
        <w:pStyle w:val="2"/>
      </w:pPr>
      <w:bookmarkStart w:id="42" w:name="_Toc133918792"/>
      <w:r>
        <w:t>3.4. Сделки эмитента, в совершении которых имелась заинтересованность</w:t>
      </w:r>
      <w:bookmarkEnd w:id="42"/>
    </w:p>
    <w:p w14:paraId="5B922238" w14:textId="77777777" w:rsidR="00294767" w:rsidRDefault="00E01351" w:rsidP="003A791A">
      <w:pPr>
        <w:ind w:left="200"/>
        <w:jc w:val="both"/>
      </w:pPr>
      <w:r>
        <w:rPr>
          <w:rStyle w:val="Subst"/>
        </w:rPr>
        <w:t>Информация в настоящем пункте не приводится в связи с тем, что у эмитента отсутствуют акции, допущенные к организованным торгам</w:t>
      </w:r>
    </w:p>
    <w:p w14:paraId="103793C4" w14:textId="77777777" w:rsidR="00294767" w:rsidRDefault="00E01351">
      <w:pPr>
        <w:pStyle w:val="2"/>
      </w:pPr>
      <w:bookmarkStart w:id="43" w:name="_Toc133918793"/>
      <w:r>
        <w:t>3.5. Крупные сделки эмитента</w:t>
      </w:r>
      <w:bookmarkEnd w:id="43"/>
    </w:p>
    <w:p w14:paraId="3F2C7C60" w14:textId="77777777" w:rsidR="00294767" w:rsidRDefault="00E01351" w:rsidP="003A791A">
      <w:pPr>
        <w:ind w:left="200"/>
        <w:jc w:val="both"/>
      </w:pPr>
      <w:r>
        <w:rPr>
          <w:rStyle w:val="Subst"/>
        </w:rPr>
        <w:t>Информация в настоящем пункте не приводится в связи с тем, что у эмитента отсутствуют акции, допущенные к организованным торгам</w:t>
      </w:r>
    </w:p>
    <w:p w14:paraId="28AC553B" w14:textId="77777777" w:rsidR="00294767" w:rsidRDefault="00E01351">
      <w:pPr>
        <w:pStyle w:val="1"/>
      </w:pPr>
      <w:bookmarkStart w:id="44" w:name="_Toc133918794"/>
      <w:r>
        <w:t>Раздел 4. Дополнительные сведения об эмитенте и о размещенных им ценных бумагах</w:t>
      </w:r>
      <w:bookmarkEnd w:id="44"/>
    </w:p>
    <w:p w14:paraId="764E708D" w14:textId="77777777" w:rsidR="00294767" w:rsidRDefault="00E01351">
      <w:pPr>
        <w:pStyle w:val="2"/>
      </w:pPr>
      <w:bookmarkStart w:id="45" w:name="_Toc133918795"/>
      <w:r>
        <w:t>4.1. Подконтрольные эмитенту организации, имеющие для него существенное значение</w:t>
      </w:r>
      <w:bookmarkEnd w:id="45"/>
    </w:p>
    <w:p w14:paraId="3A40D34D" w14:textId="77777777" w:rsidR="00294767" w:rsidRDefault="00E01351">
      <w:pPr>
        <w:ind w:left="200"/>
      </w:pPr>
      <w:r>
        <w:rPr>
          <w:rStyle w:val="Subst"/>
        </w:rPr>
        <w:t>Эмитент не имеет подконтрольных организаций, имеющих для него существенное значение</w:t>
      </w:r>
    </w:p>
    <w:p w14:paraId="63F6F109" w14:textId="77777777" w:rsidR="00294767" w:rsidRDefault="00294767">
      <w:pPr>
        <w:ind w:left="200"/>
      </w:pPr>
    </w:p>
    <w:p w14:paraId="1389CBBA" w14:textId="77777777" w:rsidR="00294767" w:rsidRDefault="00E01351" w:rsidP="003A791A">
      <w:pPr>
        <w:ind w:left="200"/>
        <w:jc w:val="both"/>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14:paraId="28594FCD" w14:textId="77777777" w:rsidR="00294767" w:rsidRDefault="00E01351">
      <w:pPr>
        <w:pStyle w:val="2"/>
      </w:pPr>
      <w:bookmarkStart w:id="46" w:name="_Toc133918796"/>
      <w:r>
        <w:t>4.2. Дополнительные сведения, раскрываемые эмитентами облигаций с целевым использованием денежных средств, полученных от их размещения</w:t>
      </w:r>
      <w:bookmarkEnd w:id="46"/>
    </w:p>
    <w:p w14:paraId="05572BEA" w14:textId="77777777" w:rsidR="00294767" w:rsidRDefault="00294767">
      <w:pPr>
        <w:ind w:left="200"/>
      </w:pPr>
    </w:p>
    <w:p w14:paraId="7C3C6B93" w14:textId="77777777" w:rsidR="00294767" w:rsidRDefault="00E01351" w:rsidP="003A791A">
      <w:pPr>
        <w:ind w:left="200"/>
        <w:jc w:val="both"/>
      </w:pPr>
      <w:r>
        <w:t>Эмитент не идентифицирует какой-либо выпуск облигаций или облигации, размещаемые в рамках программы облигаций, с использованием слов "зеленые облигации" и (или) "социальные облигации", и (или) "инфраструктурные облигации"</w:t>
      </w:r>
    </w:p>
    <w:p w14:paraId="34F7CFC1" w14:textId="77777777" w:rsidR="00294767" w:rsidRDefault="00294767" w:rsidP="003A791A">
      <w:pPr>
        <w:ind w:left="200"/>
        <w:jc w:val="both"/>
      </w:pPr>
    </w:p>
    <w:p w14:paraId="21E9E194" w14:textId="77777777" w:rsidR="00294767" w:rsidRDefault="00E01351" w:rsidP="003A791A">
      <w:pPr>
        <w:ind w:left="200"/>
        <w:jc w:val="both"/>
      </w:pPr>
      <w:r>
        <w:lastRenderedPageBreak/>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14:paraId="247FA2AA" w14:textId="77777777" w:rsidR="00294767" w:rsidRDefault="00E01351">
      <w:pPr>
        <w:pStyle w:val="2"/>
      </w:pPr>
      <w:bookmarkStart w:id="47" w:name="_Toc133918797"/>
      <w: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47"/>
    </w:p>
    <w:p w14:paraId="4F901A90" w14:textId="77777777" w:rsidR="00294767" w:rsidRDefault="00294767">
      <w:pPr>
        <w:ind w:left="200"/>
      </w:pPr>
    </w:p>
    <w:p w14:paraId="6657F91A" w14:textId="77777777" w:rsidR="00294767" w:rsidRDefault="00E01351" w:rsidP="003A791A">
      <w:pPr>
        <w:ind w:left="200"/>
        <w:jc w:val="both"/>
      </w:pPr>
      <w:r>
        <w:t>В обращении нет облигаций эмитента, в отношении которых зарегистрирован проспект или размещенные путем открытой подписки, в отношении которых предоставлено обеспечение</w:t>
      </w:r>
    </w:p>
    <w:p w14:paraId="57FC3EC6" w14:textId="77777777" w:rsidR="00294767" w:rsidRDefault="00E01351">
      <w:pPr>
        <w:pStyle w:val="2"/>
      </w:pPr>
      <w:bookmarkStart w:id="48" w:name="_Toc133918798"/>
      <w:r>
        <w:t>4.3.1. Дополнительные сведения об ипотечном покрытии по облигациям эмитента с ипотечным покрытием</w:t>
      </w:r>
      <w:bookmarkEnd w:id="48"/>
    </w:p>
    <w:p w14:paraId="03011417" w14:textId="77777777" w:rsidR="00294767" w:rsidRDefault="00E01351" w:rsidP="003A791A">
      <w:pPr>
        <w:ind w:left="200"/>
        <w:jc w:val="both"/>
      </w:pPr>
      <w:r>
        <w:rPr>
          <w:rStyle w:val="Subst"/>
        </w:rPr>
        <w:t>Информация в настоящем пункте не приводится в связи с тем, что эмитент не размещал облигации с ипотечным покрытием</w:t>
      </w:r>
    </w:p>
    <w:p w14:paraId="5B6C67E2" w14:textId="77777777" w:rsidR="00294767" w:rsidRDefault="00E01351">
      <w:pPr>
        <w:pStyle w:val="2"/>
      </w:pPr>
      <w:bookmarkStart w:id="49" w:name="_Toc133918799"/>
      <w: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49"/>
    </w:p>
    <w:p w14:paraId="68DA256A" w14:textId="77777777" w:rsidR="00294767" w:rsidRDefault="00E01351" w:rsidP="003A791A">
      <w:pPr>
        <w:ind w:left="200"/>
        <w:jc w:val="both"/>
      </w:pPr>
      <w:r>
        <w:rPr>
          <w:rStyle w:val="Subst"/>
        </w:rPr>
        <w:t>Информация в настоящем пункте не приводится в связи с тем, что эмитент не выпускал облигации с залоговым обеспечением денежными требованиями</w:t>
      </w:r>
    </w:p>
    <w:p w14:paraId="13DA3BF6" w14:textId="77777777" w:rsidR="00294767" w:rsidRDefault="00294767" w:rsidP="003A791A">
      <w:pPr>
        <w:ind w:left="200"/>
        <w:jc w:val="both"/>
      </w:pPr>
    </w:p>
    <w:p w14:paraId="363B07C9" w14:textId="77777777" w:rsidR="00294767" w:rsidRDefault="00E01351" w:rsidP="003A791A">
      <w:pPr>
        <w:ind w:left="200"/>
        <w:jc w:val="both"/>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14:paraId="11A6856F" w14:textId="77777777" w:rsidR="00294767" w:rsidRDefault="00E01351">
      <w:pPr>
        <w:pStyle w:val="2"/>
      </w:pPr>
      <w:bookmarkStart w:id="50" w:name="_Toc133918800"/>
      <w:r>
        <w:t>4.4. Сведения об объявленных и выплаченных дивидендах по акциям эмитента</w:t>
      </w:r>
      <w:bookmarkEnd w:id="50"/>
    </w:p>
    <w:p w14:paraId="3C59BDE1" w14:textId="77777777" w:rsidR="00294767" w:rsidRDefault="00E01351">
      <w:pPr>
        <w:ind w:left="200"/>
      </w:pPr>
      <w:r>
        <w:rPr>
          <w:rStyle w:val="Subst"/>
        </w:rPr>
        <w:t>Информация в настоящем пункте не приводится в связи с тем, что у эмитента отсутствуют акции, допущенные к организованным торгам</w:t>
      </w:r>
    </w:p>
    <w:p w14:paraId="59D63050" w14:textId="77777777" w:rsidR="00294767" w:rsidRDefault="00E01351">
      <w:pPr>
        <w:pStyle w:val="2"/>
      </w:pPr>
      <w:bookmarkStart w:id="51" w:name="_Toc133918801"/>
      <w:r>
        <w:t>4.5. Сведения об организациях, осуществляющих учет прав на эмиссионные ценные бумаги эмитента</w:t>
      </w:r>
      <w:bookmarkEnd w:id="51"/>
    </w:p>
    <w:p w14:paraId="09084329" w14:textId="77777777" w:rsidR="00294767" w:rsidRDefault="00E01351">
      <w:pPr>
        <w:pStyle w:val="2"/>
      </w:pPr>
      <w:bookmarkStart w:id="52" w:name="_Toc133918802"/>
      <w:r>
        <w:t>4.5.1. Сведения о регистраторе, осуществляющем ведение реестра владельцев ценных бумаг эмитента</w:t>
      </w:r>
      <w:bookmarkEnd w:id="52"/>
    </w:p>
    <w:p w14:paraId="1D05240F" w14:textId="77777777" w:rsidR="00294767" w:rsidRDefault="00E01351">
      <w:pPr>
        <w:ind w:left="200"/>
      </w:pPr>
      <w:r>
        <w:t>Полное фирменное наименование:</w:t>
      </w:r>
      <w:r>
        <w:rPr>
          <w:rStyle w:val="Subst"/>
        </w:rPr>
        <w:t xml:space="preserve"> Акционерное общество "Независимая регистраторская компания Р.О.С.Т."</w:t>
      </w:r>
    </w:p>
    <w:p w14:paraId="694514B6" w14:textId="77777777" w:rsidR="00294767" w:rsidRDefault="00E01351">
      <w:pPr>
        <w:ind w:left="200"/>
      </w:pPr>
      <w:r>
        <w:t>Сокращенное фирменное наименование:</w:t>
      </w:r>
      <w:r>
        <w:rPr>
          <w:rStyle w:val="Subst"/>
        </w:rPr>
        <w:t xml:space="preserve"> АО "НРК - Р.О.С.Т."</w:t>
      </w:r>
    </w:p>
    <w:p w14:paraId="1A386BFA" w14:textId="77777777" w:rsidR="00294767" w:rsidRDefault="00E01351">
      <w:pPr>
        <w:ind w:left="200"/>
      </w:pPr>
      <w:r>
        <w:t>Место нахождения:</w:t>
      </w:r>
      <w:r>
        <w:rPr>
          <w:rStyle w:val="Subst"/>
        </w:rPr>
        <w:t xml:space="preserve"> 107076, Москва, ул. Стромынка, д. 18, корп. 5Б, помещение IX</w:t>
      </w:r>
    </w:p>
    <w:p w14:paraId="019311D8" w14:textId="77777777" w:rsidR="00294767" w:rsidRDefault="00E01351">
      <w:pPr>
        <w:ind w:left="200"/>
      </w:pPr>
      <w:r>
        <w:t>ИНН:</w:t>
      </w:r>
      <w:r>
        <w:rPr>
          <w:rStyle w:val="Subst"/>
        </w:rPr>
        <w:t xml:space="preserve"> 7726030449</w:t>
      </w:r>
    </w:p>
    <w:p w14:paraId="02202B8B" w14:textId="77777777" w:rsidR="00294767" w:rsidRDefault="00E01351">
      <w:pPr>
        <w:ind w:left="200"/>
      </w:pPr>
      <w:r>
        <w:t>ОГРН:</w:t>
      </w:r>
      <w:r>
        <w:rPr>
          <w:rStyle w:val="Subst"/>
        </w:rPr>
        <w:t xml:space="preserve"> 1027739216757</w:t>
      </w:r>
    </w:p>
    <w:p w14:paraId="27331D16" w14:textId="77777777" w:rsidR="00294767" w:rsidRDefault="00E01351">
      <w:pPr>
        <w:pStyle w:val="SubHeading"/>
        <w:ind w:left="200"/>
      </w:pPr>
      <w:r>
        <w:t>Данные о лицензии на осуществление деятельности по ведению реестра владельцев ценных бумаг</w:t>
      </w:r>
    </w:p>
    <w:p w14:paraId="6EEF8CB2" w14:textId="77777777" w:rsidR="00294767" w:rsidRDefault="00E01351">
      <w:pPr>
        <w:ind w:left="400"/>
      </w:pPr>
      <w:r>
        <w:t>Номер:</w:t>
      </w:r>
      <w:r>
        <w:rPr>
          <w:rStyle w:val="Subst"/>
        </w:rPr>
        <w:t xml:space="preserve"> 045-13976-000001</w:t>
      </w:r>
    </w:p>
    <w:p w14:paraId="76F586F4" w14:textId="77777777" w:rsidR="00294767" w:rsidRDefault="00E01351">
      <w:pPr>
        <w:ind w:left="400"/>
      </w:pPr>
      <w:r>
        <w:t>Дата выдачи:</w:t>
      </w:r>
      <w:r>
        <w:rPr>
          <w:rStyle w:val="Subst"/>
        </w:rPr>
        <w:t xml:space="preserve"> 03.12.2002</w:t>
      </w:r>
    </w:p>
    <w:p w14:paraId="444731A8" w14:textId="77777777" w:rsidR="00294767" w:rsidRDefault="00E01351">
      <w:pPr>
        <w:ind w:left="400"/>
      </w:pPr>
      <w:r>
        <w:t>Срок действия:</w:t>
      </w:r>
    </w:p>
    <w:p w14:paraId="7A48CCF9" w14:textId="77777777" w:rsidR="00294767" w:rsidRDefault="00E01351">
      <w:pPr>
        <w:ind w:left="600"/>
      </w:pPr>
      <w:r>
        <w:rPr>
          <w:rStyle w:val="Subst"/>
        </w:rPr>
        <w:t>Бессрочная</w:t>
      </w:r>
    </w:p>
    <w:p w14:paraId="55EC6F95" w14:textId="77777777" w:rsidR="00294767" w:rsidRDefault="00E01351">
      <w:pPr>
        <w:ind w:left="400"/>
      </w:pPr>
      <w:r>
        <w:t>Наименование органа, выдавшего лицензию:</w:t>
      </w:r>
      <w:r>
        <w:rPr>
          <w:rStyle w:val="Subst"/>
        </w:rPr>
        <w:t xml:space="preserve"> Банк России</w:t>
      </w:r>
    </w:p>
    <w:p w14:paraId="6A817C2C" w14:textId="77777777" w:rsidR="00294767" w:rsidRDefault="00E01351">
      <w:pPr>
        <w:ind w:left="200"/>
      </w:pPr>
      <w:r>
        <w:t>Дата, с которой регистратор осуществляет ведение реестра владельцев ценных бумаг эмитента:</w:t>
      </w:r>
      <w:r>
        <w:rPr>
          <w:rStyle w:val="Subst"/>
        </w:rPr>
        <w:t xml:space="preserve"> 05.02.2019</w:t>
      </w:r>
    </w:p>
    <w:p w14:paraId="0485840C" w14:textId="77777777" w:rsidR="00294767" w:rsidRDefault="00E01351" w:rsidP="003A791A">
      <w:pPr>
        <w:ind w:left="200"/>
        <w:jc w:val="both"/>
      </w:pPr>
      <w:r>
        <w:t>Иные сведения о ведении реестра владельцев ценных бумаг эмитента, указываемые эмитентом по собственному усмотрению:</w:t>
      </w:r>
      <w:r>
        <w:rPr>
          <w:rStyle w:val="Subst"/>
        </w:rPr>
        <w:t xml:space="preserve"> Начиная с 20.01.2007 по 03.02.2019 г. включительно Акционерное общество «Независимая регистраторская компания» являлась регистратором АО «НПК» и осуществляла ведение реестра владельцев ценных бумаг эмитента.04 февраля 2019 г. в Единый государственный реестр юридических лиц (ЕГРЮЛ) была внесена запись о прекращении деятельности АО «Независимая регистраторская компания» в результате его реорганизации в форме присоединения к Акционерному обществу "Независимая регистраторская компания Р.О.С.Т.".</w:t>
      </w:r>
    </w:p>
    <w:p w14:paraId="11276E98" w14:textId="77777777" w:rsidR="00294767" w:rsidRDefault="00E01351">
      <w:pPr>
        <w:pStyle w:val="2"/>
      </w:pPr>
      <w:bookmarkStart w:id="53" w:name="_Toc133918803"/>
      <w:r>
        <w:lastRenderedPageBreak/>
        <w:t>4.5.2. Сведения о депозитарии, осуществляющем централизованный учет прав на ценные бумаги эмитента</w:t>
      </w:r>
      <w:bookmarkEnd w:id="53"/>
    </w:p>
    <w:p w14:paraId="30CA7378" w14:textId="77777777" w:rsidR="00294767" w:rsidRDefault="00E01351">
      <w:pPr>
        <w:ind w:left="200"/>
      </w:pPr>
      <w:r>
        <w:t>В обращении находятся ценные бумаги эмитента с централизованным учетом прав</w:t>
      </w:r>
    </w:p>
    <w:p w14:paraId="61BC898D" w14:textId="77777777" w:rsidR="00294767" w:rsidRDefault="00E01351">
      <w:pPr>
        <w:ind w:left="200"/>
      </w:pPr>
      <w:r>
        <w:t>Полное фирменное наименование:</w:t>
      </w:r>
      <w:r>
        <w:rPr>
          <w:rStyle w:val="Subst"/>
        </w:rPr>
        <w:t xml:space="preserve"> Небанковская кредитная организация акционерное общество "Национальный расчетный депозитарий"</w:t>
      </w:r>
    </w:p>
    <w:p w14:paraId="18F5C097" w14:textId="77777777" w:rsidR="00294767" w:rsidRDefault="00E01351">
      <w:pPr>
        <w:ind w:left="200"/>
      </w:pPr>
      <w:r>
        <w:t>Сокращенное фирменное наименование:</w:t>
      </w:r>
      <w:r>
        <w:rPr>
          <w:rStyle w:val="Subst"/>
        </w:rPr>
        <w:t xml:space="preserve"> НКО АО НРД</w:t>
      </w:r>
    </w:p>
    <w:p w14:paraId="26EA1695" w14:textId="77777777" w:rsidR="00294767" w:rsidRDefault="00E01351">
      <w:pPr>
        <w:ind w:left="200"/>
      </w:pPr>
      <w:r>
        <w:t>Место нахождения:</w:t>
      </w:r>
      <w:r>
        <w:rPr>
          <w:rStyle w:val="Subst"/>
        </w:rPr>
        <w:t xml:space="preserve"> 105066, г. Москва, ул. Спартаковская, д. 12</w:t>
      </w:r>
    </w:p>
    <w:p w14:paraId="7D710EAB" w14:textId="77777777" w:rsidR="00294767" w:rsidRDefault="00E01351">
      <w:pPr>
        <w:ind w:left="200"/>
      </w:pPr>
      <w:r>
        <w:t>ИНН:</w:t>
      </w:r>
      <w:r>
        <w:rPr>
          <w:rStyle w:val="Subst"/>
        </w:rPr>
        <w:t xml:space="preserve"> 7702165310</w:t>
      </w:r>
    </w:p>
    <w:p w14:paraId="754CAD54" w14:textId="77777777" w:rsidR="00294767" w:rsidRDefault="00E01351">
      <w:pPr>
        <w:ind w:left="200"/>
      </w:pPr>
      <w:r>
        <w:t>ОГРН:</w:t>
      </w:r>
      <w:r>
        <w:rPr>
          <w:rStyle w:val="Subst"/>
        </w:rPr>
        <w:t xml:space="preserve"> 1027739132563</w:t>
      </w:r>
    </w:p>
    <w:p w14:paraId="19A26F6C" w14:textId="77777777" w:rsidR="00294767" w:rsidRDefault="00E01351">
      <w:pPr>
        <w:pStyle w:val="SubHeading"/>
        <w:ind w:left="200"/>
      </w:pPr>
      <w:r>
        <w:t>Данные о лицензии профессионального участника рынка ценных бумаг на осуществление депозитарной деятельности</w:t>
      </w:r>
    </w:p>
    <w:p w14:paraId="0799381D" w14:textId="77777777" w:rsidR="00294767" w:rsidRDefault="00E01351">
      <w:pPr>
        <w:ind w:left="400"/>
      </w:pPr>
      <w:r>
        <w:t>Номер:</w:t>
      </w:r>
      <w:r>
        <w:rPr>
          <w:rStyle w:val="Subst"/>
        </w:rPr>
        <w:t xml:space="preserve"> 045-12042-0001000</w:t>
      </w:r>
    </w:p>
    <w:p w14:paraId="1C0A54A7" w14:textId="77777777" w:rsidR="00294767" w:rsidRDefault="00E01351">
      <w:pPr>
        <w:ind w:left="400"/>
      </w:pPr>
      <w:r>
        <w:t>Дата выдачи:</w:t>
      </w:r>
      <w:r>
        <w:rPr>
          <w:rStyle w:val="Subst"/>
        </w:rPr>
        <w:t xml:space="preserve"> 19.02.2009</w:t>
      </w:r>
    </w:p>
    <w:p w14:paraId="535E5346" w14:textId="77777777" w:rsidR="00294767" w:rsidRDefault="00E01351">
      <w:pPr>
        <w:ind w:left="400"/>
      </w:pPr>
      <w:r>
        <w:t>Срок действия:</w:t>
      </w:r>
    </w:p>
    <w:p w14:paraId="64AD7EA4" w14:textId="77777777" w:rsidR="00294767" w:rsidRDefault="00E01351">
      <w:pPr>
        <w:ind w:left="600"/>
      </w:pPr>
      <w:r>
        <w:rPr>
          <w:rStyle w:val="Subst"/>
        </w:rPr>
        <w:t>Бессрочная</w:t>
      </w:r>
    </w:p>
    <w:p w14:paraId="6EE04E17" w14:textId="77777777" w:rsidR="00294767" w:rsidRDefault="00E01351">
      <w:pPr>
        <w:ind w:left="400"/>
      </w:pPr>
      <w:r>
        <w:t>Наименование органа, выдавшего лицензию:</w:t>
      </w:r>
      <w:r>
        <w:rPr>
          <w:rStyle w:val="Subst"/>
        </w:rPr>
        <w:t xml:space="preserve"> ФСФР России</w:t>
      </w:r>
    </w:p>
    <w:p w14:paraId="2E20B381" w14:textId="77777777" w:rsidR="00294767" w:rsidRDefault="00294767">
      <w:pPr>
        <w:ind w:left="200"/>
      </w:pPr>
    </w:p>
    <w:p w14:paraId="37932C1D" w14:textId="77777777" w:rsidR="00294767" w:rsidRDefault="00E01351">
      <w:pPr>
        <w:ind w:left="200"/>
      </w:pPr>
      <w:r>
        <w:t>Полное фирменное наименование:</w:t>
      </w:r>
      <w:r>
        <w:rPr>
          <w:rStyle w:val="Subst"/>
        </w:rPr>
        <w:t xml:space="preserve"> Небанковская кредитная организация акционерное общество "Национальный расчетный депозитарий"</w:t>
      </w:r>
    </w:p>
    <w:p w14:paraId="24101C9E" w14:textId="77777777" w:rsidR="00294767" w:rsidRDefault="00E01351">
      <w:pPr>
        <w:ind w:left="200"/>
      </w:pPr>
      <w:r>
        <w:t>Сокращенное фирменное наименование:</w:t>
      </w:r>
      <w:r>
        <w:rPr>
          <w:rStyle w:val="Subst"/>
        </w:rPr>
        <w:t xml:space="preserve"> НКО АО НРД</w:t>
      </w:r>
    </w:p>
    <w:p w14:paraId="1926A933" w14:textId="77777777" w:rsidR="00294767" w:rsidRDefault="00E01351">
      <w:pPr>
        <w:ind w:left="200"/>
      </w:pPr>
      <w:r>
        <w:t>Место нахождения:</w:t>
      </w:r>
      <w:r>
        <w:rPr>
          <w:rStyle w:val="Subst"/>
        </w:rPr>
        <w:t xml:space="preserve"> 105066, г. Москва, ул. Спартаковская, д. 12</w:t>
      </w:r>
    </w:p>
    <w:p w14:paraId="7B35CE29" w14:textId="77777777" w:rsidR="00294767" w:rsidRDefault="00E01351">
      <w:pPr>
        <w:ind w:left="200"/>
      </w:pPr>
      <w:r>
        <w:t>ИНН:</w:t>
      </w:r>
      <w:r>
        <w:rPr>
          <w:rStyle w:val="Subst"/>
        </w:rPr>
        <w:t xml:space="preserve"> 7702165310</w:t>
      </w:r>
    </w:p>
    <w:p w14:paraId="5A32E36B" w14:textId="77777777" w:rsidR="00294767" w:rsidRDefault="00E01351">
      <w:pPr>
        <w:ind w:left="200"/>
      </w:pPr>
      <w:r>
        <w:t>ОГРН:</w:t>
      </w:r>
      <w:r>
        <w:rPr>
          <w:rStyle w:val="Subst"/>
        </w:rPr>
        <w:t xml:space="preserve"> 1027739132563</w:t>
      </w:r>
    </w:p>
    <w:p w14:paraId="6D4B68B1" w14:textId="77777777" w:rsidR="00294767" w:rsidRDefault="00E01351">
      <w:pPr>
        <w:pStyle w:val="SubHeading"/>
        <w:ind w:left="200"/>
      </w:pPr>
      <w:r>
        <w:t>Данные о лицензии профессионального участника рынка ценных бумаг на осуществление депозитарной деятельности</w:t>
      </w:r>
    </w:p>
    <w:p w14:paraId="00FC52EE" w14:textId="77777777" w:rsidR="00294767" w:rsidRDefault="00E01351">
      <w:pPr>
        <w:ind w:left="400"/>
      </w:pPr>
      <w:r>
        <w:t>Номер:</w:t>
      </w:r>
      <w:r>
        <w:rPr>
          <w:rStyle w:val="Subst"/>
        </w:rPr>
        <w:t xml:space="preserve"> 045-12042-0001000</w:t>
      </w:r>
    </w:p>
    <w:p w14:paraId="6B06150D" w14:textId="77777777" w:rsidR="00294767" w:rsidRDefault="00E01351">
      <w:pPr>
        <w:ind w:left="400"/>
      </w:pPr>
      <w:r>
        <w:t>Дата выдачи:</w:t>
      </w:r>
      <w:r>
        <w:rPr>
          <w:rStyle w:val="Subst"/>
        </w:rPr>
        <w:t xml:space="preserve"> 19.02.2009</w:t>
      </w:r>
    </w:p>
    <w:p w14:paraId="63629473" w14:textId="77777777" w:rsidR="00294767" w:rsidRDefault="00E01351">
      <w:pPr>
        <w:ind w:left="400"/>
      </w:pPr>
      <w:r>
        <w:t>Срок действия:</w:t>
      </w:r>
    </w:p>
    <w:p w14:paraId="57E5E767" w14:textId="77777777" w:rsidR="00294767" w:rsidRDefault="00E01351">
      <w:pPr>
        <w:ind w:left="600"/>
      </w:pPr>
      <w:r>
        <w:rPr>
          <w:rStyle w:val="Subst"/>
        </w:rPr>
        <w:t>Бессрочная</w:t>
      </w:r>
    </w:p>
    <w:p w14:paraId="29EB3C47" w14:textId="77777777" w:rsidR="00294767" w:rsidRDefault="00E01351">
      <w:pPr>
        <w:ind w:left="400"/>
      </w:pPr>
      <w:r>
        <w:t>Наименование органа, выдавшего лицензию:</w:t>
      </w:r>
      <w:r>
        <w:rPr>
          <w:rStyle w:val="Subst"/>
        </w:rPr>
        <w:t xml:space="preserve"> ФСФР России</w:t>
      </w:r>
    </w:p>
    <w:p w14:paraId="40742BD0" w14:textId="77777777" w:rsidR="00294767" w:rsidRDefault="00294767">
      <w:pPr>
        <w:ind w:left="200"/>
      </w:pPr>
    </w:p>
    <w:p w14:paraId="43C190FF" w14:textId="77777777" w:rsidR="00294767" w:rsidRDefault="00E01351" w:rsidP="003A791A">
      <w:pPr>
        <w:ind w:left="200"/>
        <w:jc w:val="both"/>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14:paraId="73E45695" w14:textId="77777777" w:rsidR="00294767" w:rsidRDefault="00E01351">
      <w:pPr>
        <w:pStyle w:val="2"/>
      </w:pPr>
      <w:bookmarkStart w:id="54" w:name="_Toc133918804"/>
      <w:r>
        <w:t>4.6. Информация об аудиторе эмитента</w:t>
      </w:r>
      <w:bookmarkEnd w:id="54"/>
    </w:p>
    <w:p w14:paraId="19DA8B11" w14:textId="77777777" w:rsidR="00294767" w:rsidRDefault="00E01351" w:rsidP="003A791A">
      <w:pPr>
        <w:ind w:left="200"/>
        <w:jc w:val="both"/>
      </w:pPr>
      <w:r>
        <w:t>Указывается информация в отношении аудитора (аудиторской организации, индивидуального аудитора) эмитента, который проводил проверку промежуточной отчетности эмитента, раскрытой эмитентом в отчетном периоде, и (или) который проводил (будет проводить) проверку (обязательный аудит) годовой отчетности эмитента за текущий и последний завершенный отчетный год.</w:t>
      </w:r>
    </w:p>
    <w:p w14:paraId="7015C53E" w14:textId="77777777" w:rsidR="00294767" w:rsidRDefault="00E01351">
      <w:pPr>
        <w:ind w:left="200"/>
      </w:pPr>
      <w:r>
        <w:t>Полное фирменное наименование:</w:t>
      </w:r>
      <w:r>
        <w:rPr>
          <w:rStyle w:val="Subst"/>
        </w:rPr>
        <w:t xml:space="preserve"> Общество с ограниченной ответственностью «Аудиторская фирма «ГРОСС-АУДИТ»</w:t>
      </w:r>
    </w:p>
    <w:p w14:paraId="0E3CD2F6" w14:textId="77777777" w:rsidR="00294767" w:rsidRDefault="00E01351">
      <w:pPr>
        <w:ind w:left="200"/>
      </w:pPr>
      <w:r>
        <w:t>Сокращенное фирменное наименование:</w:t>
      </w:r>
      <w:r>
        <w:rPr>
          <w:rStyle w:val="Subst"/>
        </w:rPr>
        <w:t xml:space="preserve"> ООО «ГРОСС-АУДИТ»</w:t>
      </w:r>
    </w:p>
    <w:p w14:paraId="4E75EF86" w14:textId="77777777" w:rsidR="00294767" w:rsidRDefault="00E01351">
      <w:pPr>
        <w:ind w:left="200"/>
      </w:pPr>
      <w:r>
        <w:t>Место нахождения:</w:t>
      </w:r>
      <w:r>
        <w:rPr>
          <w:rStyle w:val="Subst"/>
        </w:rPr>
        <w:t xml:space="preserve"> 119991, г.</w:t>
      </w:r>
      <w:r w:rsidR="003A791A">
        <w:rPr>
          <w:rStyle w:val="Subst"/>
        </w:rPr>
        <w:t xml:space="preserve"> </w:t>
      </w:r>
      <w:r>
        <w:rPr>
          <w:rStyle w:val="Subst"/>
        </w:rPr>
        <w:t>Москва, Ленинские горы, д. 1, стр. 4, офис 317, 319</w:t>
      </w:r>
    </w:p>
    <w:p w14:paraId="1D72BE73" w14:textId="77777777" w:rsidR="00294767" w:rsidRDefault="00E01351">
      <w:pPr>
        <w:ind w:left="200"/>
      </w:pPr>
      <w:r>
        <w:t>ИНН:</w:t>
      </w:r>
      <w:r>
        <w:rPr>
          <w:rStyle w:val="Subst"/>
        </w:rPr>
        <w:t xml:space="preserve"> 7729347187</w:t>
      </w:r>
    </w:p>
    <w:p w14:paraId="5601024A" w14:textId="77777777" w:rsidR="00294767" w:rsidRDefault="00E01351">
      <w:pPr>
        <w:ind w:left="200"/>
      </w:pPr>
      <w:r>
        <w:t>ОГРН:</w:t>
      </w:r>
      <w:r>
        <w:rPr>
          <w:rStyle w:val="Subst"/>
        </w:rPr>
        <w:t xml:space="preserve"> 1037739251835</w:t>
      </w:r>
    </w:p>
    <w:p w14:paraId="7FC1B9C7" w14:textId="26DD9240" w:rsidR="00294767" w:rsidRDefault="00E01351">
      <w:pPr>
        <w:pStyle w:val="SubHeading"/>
        <w:ind w:left="200"/>
      </w:pPr>
      <w: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p w14:paraId="1D405687" w14:textId="31E7BF4B" w:rsidR="00E0052F" w:rsidRDefault="00E0052F">
      <w:pPr>
        <w:pStyle w:val="SubHeading"/>
        <w:ind w:left="200"/>
      </w:pPr>
    </w:p>
    <w:p w14:paraId="22A27D9C" w14:textId="77777777" w:rsidR="00E118E9" w:rsidRDefault="00E118E9">
      <w:pPr>
        <w:pStyle w:val="SubHeading"/>
        <w:ind w:left="200"/>
      </w:pPr>
    </w:p>
    <w:p w14:paraId="460112E2" w14:textId="77777777" w:rsidR="00294767" w:rsidRDefault="00294767">
      <w:pPr>
        <w:pStyle w:val="ThinDelim"/>
      </w:pPr>
    </w:p>
    <w:tbl>
      <w:tblPr>
        <w:tblW w:w="0" w:type="auto"/>
        <w:tblLayout w:type="fixed"/>
        <w:tblCellMar>
          <w:left w:w="72" w:type="dxa"/>
          <w:right w:w="72" w:type="dxa"/>
        </w:tblCellMar>
        <w:tblLook w:val="0000" w:firstRow="0" w:lastRow="0" w:firstColumn="0" w:lastColumn="0" w:noHBand="0" w:noVBand="0"/>
      </w:tblPr>
      <w:tblGrid>
        <w:gridCol w:w="4652"/>
        <w:gridCol w:w="4600"/>
      </w:tblGrid>
      <w:tr w:rsidR="00294767" w14:paraId="0750A1CC" w14:textId="77777777">
        <w:tc>
          <w:tcPr>
            <w:tcW w:w="4652" w:type="dxa"/>
            <w:tcBorders>
              <w:top w:val="double" w:sz="6" w:space="0" w:color="auto"/>
              <w:left w:val="double" w:sz="6" w:space="0" w:color="auto"/>
              <w:bottom w:val="single" w:sz="6" w:space="0" w:color="auto"/>
              <w:right w:val="single" w:sz="6" w:space="0" w:color="auto"/>
            </w:tcBorders>
          </w:tcPr>
          <w:p w14:paraId="323E513A" w14:textId="77777777" w:rsidR="00294767" w:rsidRDefault="00E01351">
            <w:pPr>
              <w:jc w:val="center"/>
            </w:pPr>
            <w: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4600" w:type="dxa"/>
            <w:tcBorders>
              <w:top w:val="double" w:sz="6" w:space="0" w:color="auto"/>
              <w:left w:val="single" w:sz="6" w:space="0" w:color="auto"/>
              <w:bottom w:val="single" w:sz="6" w:space="0" w:color="auto"/>
              <w:right w:val="double" w:sz="6" w:space="0" w:color="auto"/>
            </w:tcBorders>
          </w:tcPr>
          <w:p w14:paraId="1BBEF1D8" w14:textId="77777777" w:rsidR="00294767" w:rsidRDefault="00E01351">
            <w:pPr>
              <w:jc w:val="center"/>
            </w:pPr>
            <w: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294767" w14:paraId="4DB74E08" w14:textId="77777777">
        <w:tc>
          <w:tcPr>
            <w:tcW w:w="4652" w:type="dxa"/>
            <w:tcBorders>
              <w:top w:val="single" w:sz="6" w:space="0" w:color="auto"/>
              <w:left w:val="double" w:sz="6" w:space="0" w:color="auto"/>
              <w:bottom w:val="single" w:sz="6" w:space="0" w:color="auto"/>
              <w:right w:val="single" w:sz="6" w:space="0" w:color="auto"/>
            </w:tcBorders>
          </w:tcPr>
          <w:p w14:paraId="3B5BB6AC" w14:textId="77777777" w:rsidR="00294767" w:rsidRDefault="00E01351">
            <w:r>
              <w:t>2020</w:t>
            </w:r>
          </w:p>
        </w:tc>
        <w:tc>
          <w:tcPr>
            <w:tcW w:w="4600" w:type="dxa"/>
            <w:tcBorders>
              <w:top w:val="single" w:sz="6" w:space="0" w:color="auto"/>
              <w:left w:val="single" w:sz="6" w:space="0" w:color="auto"/>
              <w:bottom w:val="single" w:sz="6" w:space="0" w:color="auto"/>
              <w:right w:val="double" w:sz="6" w:space="0" w:color="auto"/>
            </w:tcBorders>
          </w:tcPr>
          <w:p w14:paraId="487BBABA" w14:textId="77777777" w:rsidR="00294767" w:rsidRDefault="00E01351">
            <w:r>
              <w:t>Бухгалтерская отчетность, Год</w:t>
            </w:r>
          </w:p>
        </w:tc>
      </w:tr>
      <w:tr w:rsidR="00294767" w14:paraId="14A5B3C0" w14:textId="77777777">
        <w:tc>
          <w:tcPr>
            <w:tcW w:w="4652" w:type="dxa"/>
            <w:tcBorders>
              <w:top w:val="single" w:sz="6" w:space="0" w:color="auto"/>
              <w:left w:val="double" w:sz="6" w:space="0" w:color="auto"/>
              <w:bottom w:val="single" w:sz="6" w:space="0" w:color="auto"/>
              <w:right w:val="single" w:sz="6" w:space="0" w:color="auto"/>
            </w:tcBorders>
          </w:tcPr>
          <w:p w14:paraId="0C39684B" w14:textId="77777777" w:rsidR="00294767" w:rsidRDefault="00E01351">
            <w:r>
              <w:t>2021</w:t>
            </w:r>
          </w:p>
        </w:tc>
        <w:tc>
          <w:tcPr>
            <w:tcW w:w="4600" w:type="dxa"/>
            <w:tcBorders>
              <w:top w:val="single" w:sz="6" w:space="0" w:color="auto"/>
              <w:left w:val="single" w:sz="6" w:space="0" w:color="auto"/>
              <w:bottom w:val="single" w:sz="6" w:space="0" w:color="auto"/>
              <w:right w:val="double" w:sz="6" w:space="0" w:color="auto"/>
            </w:tcBorders>
          </w:tcPr>
          <w:p w14:paraId="1162C17E" w14:textId="77777777" w:rsidR="00294767" w:rsidRDefault="00E01351">
            <w:r>
              <w:t>Бухгалтерская отчетность, Год</w:t>
            </w:r>
          </w:p>
        </w:tc>
      </w:tr>
      <w:tr w:rsidR="00294767" w14:paraId="5D61FAE7" w14:textId="77777777">
        <w:tc>
          <w:tcPr>
            <w:tcW w:w="4652" w:type="dxa"/>
            <w:tcBorders>
              <w:top w:val="single" w:sz="6" w:space="0" w:color="auto"/>
              <w:left w:val="double" w:sz="6" w:space="0" w:color="auto"/>
              <w:bottom w:val="double" w:sz="6" w:space="0" w:color="auto"/>
              <w:right w:val="single" w:sz="6" w:space="0" w:color="auto"/>
            </w:tcBorders>
          </w:tcPr>
          <w:p w14:paraId="33ED9056" w14:textId="77777777" w:rsidR="00294767" w:rsidRDefault="00E01351">
            <w:r>
              <w:t>2022</w:t>
            </w:r>
          </w:p>
        </w:tc>
        <w:tc>
          <w:tcPr>
            <w:tcW w:w="4600" w:type="dxa"/>
            <w:tcBorders>
              <w:top w:val="single" w:sz="6" w:space="0" w:color="auto"/>
              <w:left w:val="single" w:sz="6" w:space="0" w:color="auto"/>
              <w:bottom w:val="double" w:sz="6" w:space="0" w:color="auto"/>
              <w:right w:val="double" w:sz="6" w:space="0" w:color="auto"/>
            </w:tcBorders>
          </w:tcPr>
          <w:p w14:paraId="3BC706F0" w14:textId="77777777" w:rsidR="00294767" w:rsidRDefault="00E01351">
            <w:r>
              <w:t>Бухгалтерская отчетность, Год</w:t>
            </w:r>
          </w:p>
        </w:tc>
      </w:tr>
    </w:tbl>
    <w:p w14:paraId="12E36855" w14:textId="77777777" w:rsidR="00294767" w:rsidRDefault="00294767"/>
    <w:p w14:paraId="39263462" w14:textId="77777777" w:rsidR="00294767" w:rsidRDefault="00E01351">
      <w:pPr>
        <w:ind w:left="200"/>
      </w:pPr>
      <w: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r>
        <w:br/>
      </w:r>
      <w:r>
        <w:rPr>
          <w:rStyle w:val="Subst"/>
        </w:rPr>
        <w:t>нет</w:t>
      </w:r>
    </w:p>
    <w:p w14:paraId="09B47397" w14:textId="77777777" w:rsidR="00294767" w:rsidRDefault="00E01351" w:rsidP="003A791A">
      <w:pPr>
        <w:pStyle w:val="SubHeading"/>
        <w:ind w:left="200"/>
        <w:jc w:val="both"/>
      </w:pPr>
      <w:r>
        <w:t>Описываются факторы,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w:t>
      </w:r>
    </w:p>
    <w:p w14:paraId="6AC30F1E" w14:textId="77777777" w:rsidR="00294767" w:rsidRDefault="00E01351" w:rsidP="003A791A">
      <w:pPr>
        <w:ind w:left="400"/>
        <w:jc w:val="both"/>
      </w:pPr>
      <w:r>
        <w:rPr>
          <w:rStyle w:val="Subst"/>
        </w:rPr>
        <w:t>Факторов,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 нет</w:t>
      </w:r>
    </w:p>
    <w:p w14:paraId="5827D2A1" w14:textId="77777777" w:rsidR="00294767" w:rsidRDefault="00E01351" w:rsidP="003A791A">
      <w:pPr>
        <w:ind w:left="400"/>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14:paraId="0AC85770" w14:textId="77777777" w:rsidR="00294767" w:rsidRDefault="00E01351" w:rsidP="003A791A">
      <w:pPr>
        <w:ind w:left="400"/>
        <w:jc w:val="both"/>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r>
        <w:br/>
      </w: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14:paraId="42CF1B36" w14:textId="77777777" w:rsidR="00294767" w:rsidRDefault="00E01351" w:rsidP="003A791A">
      <w:pPr>
        <w:ind w:left="400"/>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14:paraId="1E53B0F3" w14:textId="77777777" w:rsidR="00294767" w:rsidRDefault="00E01351" w:rsidP="003A791A">
      <w:pPr>
        <w:ind w:left="400"/>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14:paraId="0BB814F3" w14:textId="77777777" w:rsidR="00294767" w:rsidRDefault="00E01351" w:rsidP="003A791A">
      <w:pPr>
        <w:ind w:left="400"/>
        <w:jc w:val="both"/>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14:paraId="30086A5F" w14:textId="77777777" w:rsidR="00294767" w:rsidRDefault="00E01351" w:rsidP="003A791A">
      <w:pPr>
        <w:ind w:left="200"/>
        <w:jc w:val="both"/>
      </w:pPr>
      <w: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w:t>
      </w:r>
      <w:r>
        <w:br/>
      </w:r>
      <w:r>
        <w:rPr>
          <w:rStyle w:val="Subst"/>
        </w:rPr>
        <w:t>Размер вознаграждения за аудит по РСБУ за 2021 год выплаченного в 2022 году составил 720 000 руб. в т.ч. НДС 20%</w:t>
      </w:r>
      <w:r>
        <w:rPr>
          <w:rStyle w:val="Subst"/>
        </w:rPr>
        <w:br/>
        <w:t>Размер вознаграждения за аудит по РСБУ за 2022 год выплаченного в 2022 году</w:t>
      </w:r>
      <w:r w:rsidR="003A791A">
        <w:rPr>
          <w:rStyle w:val="Subst"/>
        </w:rPr>
        <w:t xml:space="preserve"> </w:t>
      </w:r>
      <w:r>
        <w:rPr>
          <w:rStyle w:val="Subst"/>
        </w:rPr>
        <w:t>составил 1 440 000 руб. в т.ч. НДС 20%</w:t>
      </w:r>
      <w:r>
        <w:rPr>
          <w:rStyle w:val="Subst"/>
        </w:rPr>
        <w:br/>
        <w:t xml:space="preserve">Размер вознаграждения за аудит по РСБУ за 2022 год выплаченного в 2023 году составил 720 000 </w:t>
      </w:r>
      <w:r>
        <w:rPr>
          <w:rStyle w:val="Subst"/>
        </w:rPr>
        <w:lastRenderedPageBreak/>
        <w:t>руб. в т.ч. НДС 20%</w:t>
      </w:r>
    </w:p>
    <w:p w14:paraId="4DE58BEA" w14:textId="77777777" w:rsidR="00294767" w:rsidRDefault="00E01351">
      <w:pPr>
        <w:ind w:left="200"/>
      </w:pPr>
      <w:r>
        <w:rPr>
          <w:rStyle w:val="Subst"/>
        </w:rPr>
        <w:t>Отсроченных и просроченных платежей за оказанные аудитором услуги нет</w:t>
      </w:r>
    </w:p>
    <w:p w14:paraId="7A355BD5" w14:textId="77777777" w:rsidR="00294767" w:rsidRDefault="00E01351">
      <w:pPr>
        <w:pStyle w:val="SubHeading"/>
        <w:ind w:left="200"/>
      </w:pPr>
      <w:r>
        <w:t>Порядок выбора аудитора эмитента</w:t>
      </w:r>
    </w:p>
    <w:p w14:paraId="6C10F3AF" w14:textId="77777777" w:rsidR="00294767" w:rsidRDefault="00E01351">
      <w:pPr>
        <w:ind w:left="400"/>
      </w:pPr>
      <w:r>
        <w:rPr>
          <w:rStyle w:val="Subst"/>
        </w:rPr>
        <w:t>Наличие процедуры конкурса, связанного с выбором аудитора, не предусмотрено</w:t>
      </w:r>
    </w:p>
    <w:p w14:paraId="616183C6" w14:textId="77777777" w:rsidR="00294767" w:rsidRDefault="00E01351" w:rsidP="003A791A">
      <w:pPr>
        <w:ind w:left="400"/>
        <w:jc w:val="both"/>
      </w:pPr>
      <w:r>
        <w:t>Процедура выдвижения кандидатуры аудитора для утверждения общим собранием акционеров (участников) эмитента, в том числе орган управления эмитента, принимающий решение о выдвижении кандидатуры аудитора эмитента:</w:t>
      </w:r>
      <w:r>
        <w:br/>
      </w:r>
      <w:r>
        <w:rPr>
          <w:rStyle w:val="Subst"/>
        </w:rPr>
        <w:t>В соответствии с положениями Устава Эмитента, Общее собрание акционеров по предложению Совета директоров Общества вправе утвердить аудитора для осуществления проверки финансово-хозяйственной деятельности Общества в соответствии с законодательством Российской Федерации и Уставом на основании договора, заключаемого с ним Генеральным директором Общества.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с ним договора.</w:t>
      </w:r>
    </w:p>
    <w:p w14:paraId="75091EDD" w14:textId="77777777" w:rsidR="00294767" w:rsidRDefault="00294767">
      <w:pPr>
        <w:ind w:left="200"/>
      </w:pPr>
    </w:p>
    <w:p w14:paraId="79F1FF9D" w14:textId="06D4C5BD" w:rsidR="00294767" w:rsidRDefault="00E01351" w:rsidP="003A791A">
      <w:pPr>
        <w:ind w:left="200"/>
        <w:jc w:val="both"/>
      </w:pPr>
      <w:r>
        <w:t>Полное фирменное наименование:</w:t>
      </w:r>
      <w:r>
        <w:rPr>
          <w:rStyle w:val="Subst"/>
        </w:rPr>
        <w:t xml:space="preserve"> </w:t>
      </w:r>
      <w:r w:rsidR="007A7B73">
        <w:rPr>
          <w:rStyle w:val="Subst"/>
        </w:rPr>
        <w:t xml:space="preserve">Акционерное общество «Технологии Доверия – Аудит» </w:t>
      </w:r>
      <w:r>
        <w:rPr>
          <w:rStyle w:val="Subst"/>
        </w:rPr>
        <w:t>(</w:t>
      </w:r>
      <w:r w:rsidR="007A7B73">
        <w:rPr>
          <w:rStyle w:val="Subst"/>
        </w:rPr>
        <w:t>ранее</w:t>
      </w:r>
      <w:r>
        <w:rPr>
          <w:rStyle w:val="Subst"/>
        </w:rPr>
        <w:t xml:space="preserve"> -</w:t>
      </w:r>
      <w:r w:rsidR="007A7B73" w:rsidRPr="007A7B73">
        <w:rPr>
          <w:rStyle w:val="Subst"/>
        </w:rPr>
        <w:t xml:space="preserve"> </w:t>
      </w:r>
      <w:r w:rsidR="007A7B73">
        <w:rPr>
          <w:rStyle w:val="Subst"/>
        </w:rPr>
        <w:t>Акционерное Общество «ПрайсвотерхаусКуперс Аудит»</w:t>
      </w:r>
      <w:r>
        <w:rPr>
          <w:rStyle w:val="Subst"/>
        </w:rPr>
        <w:t>)</w:t>
      </w:r>
    </w:p>
    <w:p w14:paraId="7DBFD5AB" w14:textId="2F76A7C1" w:rsidR="007A7B73" w:rsidRDefault="00E01351" w:rsidP="003A791A">
      <w:pPr>
        <w:ind w:left="200"/>
        <w:jc w:val="both"/>
        <w:rPr>
          <w:rStyle w:val="Subst"/>
        </w:rPr>
      </w:pPr>
      <w:r>
        <w:t>Сокращенное фирменное наименование:</w:t>
      </w:r>
      <w:r>
        <w:rPr>
          <w:rStyle w:val="Subst"/>
        </w:rPr>
        <w:t xml:space="preserve"> </w:t>
      </w:r>
      <w:r w:rsidR="007A7B73">
        <w:rPr>
          <w:rStyle w:val="Subst"/>
        </w:rPr>
        <w:t>АО «Технологии Доверия – Аудит» (ранее -</w:t>
      </w:r>
      <w:r w:rsidR="007A7B73" w:rsidRPr="007A7B73">
        <w:rPr>
          <w:rStyle w:val="Subst"/>
        </w:rPr>
        <w:t xml:space="preserve"> </w:t>
      </w:r>
      <w:r w:rsidR="007A7B73">
        <w:rPr>
          <w:rStyle w:val="Subst"/>
        </w:rPr>
        <w:t>АО «ПрайсвотерхаусКуперс Аудит»)</w:t>
      </w:r>
    </w:p>
    <w:p w14:paraId="0C9238F2" w14:textId="77777777" w:rsidR="00294767" w:rsidRDefault="00E01351" w:rsidP="003A791A">
      <w:pPr>
        <w:ind w:left="200"/>
        <w:jc w:val="both"/>
      </w:pPr>
      <w:r>
        <w:t>Место нахождения:</w:t>
      </w:r>
      <w:r>
        <w:rPr>
          <w:rStyle w:val="Subst"/>
        </w:rPr>
        <w:t xml:space="preserve"> 125047, Россия, г. Москва, ул. Бутырский Вал, 10</w:t>
      </w:r>
    </w:p>
    <w:p w14:paraId="609F5083" w14:textId="77777777" w:rsidR="00294767" w:rsidRDefault="00E01351">
      <w:pPr>
        <w:ind w:left="200"/>
      </w:pPr>
      <w:r>
        <w:t>ИНН:</w:t>
      </w:r>
      <w:r>
        <w:rPr>
          <w:rStyle w:val="Subst"/>
        </w:rPr>
        <w:t xml:space="preserve"> 7705051102</w:t>
      </w:r>
    </w:p>
    <w:p w14:paraId="5AE09F0F" w14:textId="77777777" w:rsidR="00294767" w:rsidRDefault="00E01351">
      <w:pPr>
        <w:ind w:left="200"/>
      </w:pPr>
      <w:r>
        <w:t>ОГРН:</w:t>
      </w:r>
      <w:r>
        <w:rPr>
          <w:rStyle w:val="Subst"/>
        </w:rPr>
        <w:t xml:space="preserve"> 1027700148431</w:t>
      </w:r>
    </w:p>
    <w:p w14:paraId="7642EABF" w14:textId="77777777" w:rsidR="00294767" w:rsidRDefault="00E01351">
      <w:pPr>
        <w:pStyle w:val="SubHeading"/>
        <w:ind w:left="200"/>
      </w:pPr>
      <w: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p w14:paraId="00349B99" w14:textId="77777777" w:rsidR="00294767" w:rsidRDefault="00294767">
      <w:pPr>
        <w:pStyle w:val="ThinDelim"/>
      </w:pPr>
    </w:p>
    <w:tbl>
      <w:tblPr>
        <w:tblW w:w="9995" w:type="dxa"/>
        <w:tblLayout w:type="fixed"/>
        <w:tblCellMar>
          <w:left w:w="72" w:type="dxa"/>
          <w:right w:w="72" w:type="dxa"/>
        </w:tblCellMar>
        <w:tblLook w:val="0000" w:firstRow="0" w:lastRow="0" w:firstColumn="0" w:lastColumn="0" w:noHBand="0" w:noVBand="0"/>
      </w:tblPr>
      <w:tblGrid>
        <w:gridCol w:w="4325"/>
        <w:gridCol w:w="5670"/>
      </w:tblGrid>
      <w:tr w:rsidR="00294767" w14:paraId="1F54C39B" w14:textId="77777777" w:rsidTr="003A791A">
        <w:tc>
          <w:tcPr>
            <w:tcW w:w="4325" w:type="dxa"/>
            <w:tcBorders>
              <w:top w:val="double" w:sz="6" w:space="0" w:color="auto"/>
              <w:left w:val="double" w:sz="6" w:space="0" w:color="auto"/>
              <w:bottom w:val="single" w:sz="6" w:space="0" w:color="auto"/>
              <w:right w:val="single" w:sz="6" w:space="0" w:color="auto"/>
            </w:tcBorders>
          </w:tcPr>
          <w:p w14:paraId="7D41F9F2" w14:textId="77777777" w:rsidR="00294767" w:rsidRDefault="00E01351">
            <w:pPr>
              <w:jc w:val="center"/>
            </w:pPr>
            <w: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5670" w:type="dxa"/>
            <w:tcBorders>
              <w:top w:val="double" w:sz="6" w:space="0" w:color="auto"/>
              <w:left w:val="single" w:sz="6" w:space="0" w:color="auto"/>
              <w:bottom w:val="single" w:sz="6" w:space="0" w:color="auto"/>
              <w:right w:val="double" w:sz="6" w:space="0" w:color="auto"/>
            </w:tcBorders>
          </w:tcPr>
          <w:p w14:paraId="671EB00D" w14:textId="77777777" w:rsidR="00294767" w:rsidRDefault="00E01351">
            <w:pPr>
              <w:jc w:val="center"/>
            </w:pPr>
            <w: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294767" w14:paraId="06DADD7A" w14:textId="77777777" w:rsidTr="003A791A">
        <w:tc>
          <w:tcPr>
            <w:tcW w:w="4325" w:type="dxa"/>
            <w:tcBorders>
              <w:top w:val="single" w:sz="6" w:space="0" w:color="auto"/>
              <w:left w:val="double" w:sz="6" w:space="0" w:color="auto"/>
              <w:bottom w:val="single" w:sz="6" w:space="0" w:color="auto"/>
              <w:right w:val="single" w:sz="6" w:space="0" w:color="auto"/>
            </w:tcBorders>
          </w:tcPr>
          <w:p w14:paraId="11E0E5D5" w14:textId="77777777" w:rsidR="00294767" w:rsidRDefault="00E01351">
            <w:r>
              <w:t>2020</w:t>
            </w:r>
          </w:p>
        </w:tc>
        <w:tc>
          <w:tcPr>
            <w:tcW w:w="5670" w:type="dxa"/>
            <w:tcBorders>
              <w:top w:val="single" w:sz="6" w:space="0" w:color="auto"/>
              <w:left w:val="single" w:sz="6" w:space="0" w:color="auto"/>
              <w:bottom w:val="single" w:sz="6" w:space="0" w:color="auto"/>
              <w:right w:val="double" w:sz="6" w:space="0" w:color="auto"/>
            </w:tcBorders>
          </w:tcPr>
          <w:p w14:paraId="7BDDCBA8" w14:textId="77777777" w:rsidR="00294767" w:rsidRDefault="00E01351">
            <w:r>
              <w:t>Финансовая отчетность в соответствии с МСФО за год Сокращенная промежуточная финансовая информация за 6 мес.</w:t>
            </w:r>
          </w:p>
        </w:tc>
      </w:tr>
      <w:tr w:rsidR="00294767" w14:paraId="5949D49B" w14:textId="77777777" w:rsidTr="003A791A">
        <w:tc>
          <w:tcPr>
            <w:tcW w:w="4325" w:type="dxa"/>
            <w:tcBorders>
              <w:top w:val="single" w:sz="6" w:space="0" w:color="auto"/>
              <w:left w:val="double" w:sz="6" w:space="0" w:color="auto"/>
              <w:bottom w:val="single" w:sz="6" w:space="0" w:color="auto"/>
              <w:right w:val="single" w:sz="6" w:space="0" w:color="auto"/>
            </w:tcBorders>
          </w:tcPr>
          <w:p w14:paraId="156F4519" w14:textId="77777777" w:rsidR="00294767" w:rsidRDefault="00E01351">
            <w:r>
              <w:t>2021</w:t>
            </w:r>
          </w:p>
        </w:tc>
        <w:tc>
          <w:tcPr>
            <w:tcW w:w="5670" w:type="dxa"/>
            <w:tcBorders>
              <w:top w:val="single" w:sz="6" w:space="0" w:color="auto"/>
              <w:left w:val="single" w:sz="6" w:space="0" w:color="auto"/>
              <w:bottom w:val="single" w:sz="6" w:space="0" w:color="auto"/>
              <w:right w:val="double" w:sz="6" w:space="0" w:color="auto"/>
            </w:tcBorders>
          </w:tcPr>
          <w:p w14:paraId="68BA9743" w14:textId="77777777" w:rsidR="00294767" w:rsidRDefault="00E01351">
            <w:r>
              <w:t>Финансовая отчетность в соответствии с МСФО за год Сокращенная промежуточная финансовая информация за 6 мес.</w:t>
            </w:r>
          </w:p>
        </w:tc>
      </w:tr>
      <w:tr w:rsidR="00294767" w14:paraId="1C25817E" w14:textId="77777777" w:rsidTr="003A791A">
        <w:tc>
          <w:tcPr>
            <w:tcW w:w="4325" w:type="dxa"/>
            <w:tcBorders>
              <w:top w:val="single" w:sz="6" w:space="0" w:color="auto"/>
              <w:left w:val="double" w:sz="6" w:space="0" w:color="auto"/>
              <w:bottom w:val="double" w:sz="6" w:space="0" w:color="auto"/>
              <w:right w:val="single" w:sz="6" w:space="0" w:color="auto"/>
            </w:tcBorders>
          </w:tcPr>
          <w:p w14:paraId="006E3466" w14:textId="77777777" w:rsidR="00294767" w:rsidRDefault="00E01351">
            <w:r>
              <w:t>2022</w:t>
            </w:r>
          </w:p>
        </w:tc>
        <w:tc>
          <w:tcPr>
            <w:tcW w:w="5670" w:type="dxa"/>
            <w:tcBorders>
              <w:top w:val="single" w:sz="6" w:space="0" w:color="auto"/>
              <w:left w:val="single" w:sz="6" w:space="0" w:color="auto"/>
              <w:bottom w:val="double" w:sz="6" w:space="0" w:color="auto"/>
              <w:right w:val="double" w:sz="6" w:space="0" w:color="auto"/>
            </w:tcBorders>
          </w:tcPr>
          <w:p w14:paraId="1EDCEAB9" w14:textId="77777777" w:rsidR="00294767" w:rsidRDefault="00E01351">
            <w:r>
              <w:t>Финансовая отчетность в соответствии с МСФО за год Сокращенная промежуточная финансовая информация за 6 мес.</w:t>
            </w:r>
          </w:p>
        </w:tc>
      </w:tr>
    </w:tbl>
    <w:p w14:paraId="65E58C49" w14:textId="77777777" w:rsidR="00294767" w:rsidRDefault="00E01351">
      <w:pPr>
        <w:ind w:left="200"/>
      </w:pPr>
      <w: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r>
        <w:br/>
      </w:r>
      <w:r>
        <w:rPr>
          <w:rStyle w:val="Subst"/>
        </w:rPr>
        <w:t>нет</w:t>
      </w:r>
    </w:p>
    <w:p w14:paraId="3243B5FB" w14:textId="77777777" w:rsidR="00294767" w:rsidRDefault="00E01351">
      <w:pPr>
        <w:pStyle w:val="SubHeading"/>
        <w:ind w:left="200"/>
      </w:pPr>
      <w:r>
        <w:t>Описываются факторы,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w:t>
      </w:r>
    </w:p>
    <w:p w14:paraId="6AA93E17" w14:textId="77777777" w:rsidR="00294767" w:rsidRDefault="00E01351" w:rsidP="003A791A">
      <w:pPr>
        <w:ind w:left="400"/>
        <w:jc w:val="both"/>
      </w:pPr>
      <w:r>
        <w:rPr>
          <w:rStyle w:val="Subst"/>
        </w:rPr>
        <w:t>Факторов,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 нет</w:t>
      </w:r>
    </w:p>
    <w:p w14:paraId="79BFE55F" w14:textId="77777777" w:rsidR="00294767" w:rsidRDefault="00E01351" w:rsidP="003A791A">
      <w:pPr>
        <w:ind w:left="400"/>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14:paraId="51CF78BA" w14:textId="77777777" w:rsidR="00294767" w:rsidRDefault="00E01351" w:rsidP="003A791A">
      <w:pPr>
        <w:ind w:left="400"/>
        <w:jc w:val="both"/>
      </w:pPr>
      <w:r>
        <w:lastRenderedPageBreak/>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r>
        <w:br/>
      </w: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14:paraId="1F57644B" w14:textId="77777777" w:rsidR="00294767" w:rsidRDefault="00E01351" w:rsidP="003A791A">
      <w:pPr>
        <w:ind w:left="400"/>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14:paraId="76AF5A39" w14:textId="77777777" w:rsidR="00294767" w:rsidRDefault="00E01351" w:rsidP="003A791A">
      <w:pPr>
        <w:ind w:left="400"/>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14:paraId="402539C3" w14:textId="77777777" w:rsidR="00294767" w:rsidRDefault="00E01351" w:rsidP="003A791A">
      <w:pPr>
        <w:ind w:left="400"/>
        <w:jc w:val="both"/>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14:paraId="6F25CDD2" w14:textId="77777777" w:rsidR="00294767" w:rsidRDefault="00E01351" w:rsidP="003A791A">
      <w:pPr>
        <w:ind w:left="200"/>
        <w:jc w:val="both"/>
      </w:pPr>
      <w: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w:t>
      </w:r>
      <w:r>
        <w:br/>
      </w:r>
      <w:r>
        <w:rPr>
          <w:rStyle w:val="Subst"/>
        </w:rPr>
        <w:t>Оплата за  аудит 2021 года доплата в 2022 г. - 936 000 рублей (включая НДС 20%).</w:t>
      </w:r>
      <w:r>
        <w:rPr>
          <w:rStyle w:val="Subst"/>
        </w:rPr>
        <w:br/>
        <w:t>Фактический размер вознаграждения, выплаченного Эмитентом аудитору в 2022 году за проведение аудиторской проверки сокращенной промежуточной финансовой информации за 6 месяцев 2022 года составил 5 808 000 рублей (включая НДС 20%).</w:t>
      </w:r>
      <w:r>
        <w:rPr>
          <w:rStyle w:val="Subst"/>
        </w:rPr>
        <w:br/>
        <w:t>Фактический размер вознаграждения, выплаченного Эмитентом аудитору в 2022 году за проведение аудиторской проверки по МСФО за 2022г. составил 9 048 000 рублей (включая НДС 20%).</w:t>
      </w:r>
      <w:r>
        <w:rPr>
          <w:rStyle w:val="Subst"/>
        </w:rPr>
        <w:br/>
        <w:t>Фактический размер вознаграждения, выплаченного Эмитентом аудитору в 2023 году (доплата) за проведение аудиторской проверки по МСФО за 2022г. составил 1 008 000 рублей (включая НДС 20%).</w:t>
      </w:r>
      <w:r>
        <w:rPr>
          <w:rStyle w:val="Subst"/>
        </w:rPr>
        <w:br/>
      </w:r>
    </w:p>
    <w:p w14:paraId="1855E548" w14:textId="77777777" w:rsidR="00294767" w:rsidRDefault="00E01351">
      <w:pPr>
        <w:ind w:left="200"/>
      </w:pPr>
      <w:r>
        <w:rPr>
          <w:rStyle w:val="Subst"/>
        </w:rPr>
        <w:t>Отсроченных и просроченных платежей за оказанные аудитором услуги нет</w:t>
      </w:r>
    </w:p>
    <w:p w14:paraId="3249B587" w14:textId="77777777" w:rsidR="00294767" w:rsidRDefault="00E01351">
      <w:pPr>
        <w:pStyle w:val="SubHeading"/>
        <w:ind w:left="200"/>
      </w:pPr>
      <w:r>
        <w:t>Порядок выбора аудитора эмитента</w:t>
      </w:r>
    </w:p>
    <w:p w14:paraId="50C5C2A0" w14:textId="77777777" w:rsidR="00294767" w:rsidRDefault="00E01351">
      <w:pPr>
        <w:ind w:left="400"/>
      </w:pPr>
      <w:r>
        <w:rPr>
          <w:rStyle w:val="Subst"/>
        </w:rPr>
        <w:t>Наличие процедуры конкурса, связанного с выбором аудитора, не предусмотрено</w:t>
      </w:r>
    </w:p>
    <w:p w14:paraId="4DC85202" w14:textId="77777777" w:rsidR="00294767" w:rsidRDefault="00E01351" w:rsidP="003A791A">
      <w:pPr>
        <w:ind w:left="400"/>
        <w:jc w:val="both"/>
      </w:pPr>
      <w:r>
        <w:t>Процедура выдвижения кандидатуры аудитора для утверждения общим собранием акционеров (участников) эмитента, в том числе орган управления эмитента, принимающий решение о выдвижении кандидатуры аудитора эмитента:</w:t>
      </w:r>
      <w:r>
        <w:br/>
      </w:r>
      <w:r>
        <w:rPr>
          <w:rStyle w:val="Subst"/>
        </w:rPr>
        <w:t>В соответствии с положениями Устава Эмитента, Общее собрание акционеров по предложению Совета директоров Общества вправе утвердить аудитора для осуществления проверки финансово-хозяйственной деятельности Общества в соответствии с законодательством Российской Федерации и Уставом на основании договора, заключаемого с ним Генеральным директором Общества.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с ним договора.</w:t>
      </w:r>
    </w:p>
    <w:p w14:paraId="18FF076C" w14:textId="77777777" w:rsidR="00294767" w:rsidRDefault="00294767">
      <w:pPr>
        <w:ind w:left="200"/>
      </w:pPr>
    </w:p>
    <w:p w14:paraId="0ACC74E8" w14:textId="5C8E3E95" w:rsidR="00294767" w:rsidRDefault="00E01351">
      <w:pPr>
        <w:ind w:left="200"/>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r w:rsidR="00B55583">
        <w:t>.</w:t>
      </w:r>
    </w:p>
    <w:p w14:paraId="5803BE28" w14:textId="48B77FE0" w:rsidR="00B55583" w:rsidRDefault="00B55583">
      <w:pPr>
        <w:ind w:left="200"/>
      </w:pPr>
    </w:p>
    <w:p w14:paraId="42B18F90" w14:textId="4F81CE2F" w:rsidR="00B55583" w:rsidRDefault="00B55583">
      <w:pPr>
        <w:ind w:left="200"/>
      </w:pPr>
    </w:p>
    <w:p w14:paraId="41CFD225" w14:textId="63A6417C" w:rsidR="00B55583" w:rsidRDefault="00B55583">
      <w:pPr>
        <w:ind w:left="200"/>
      </w:pPr>
    </w:p>
    <w:p w14:paraId="7C2B1E3D" w14:textId="2E3D03BD" w:rsidR="00B55583" w:rsidRDefault="00B55583">
      <w:pPr>
        <w:ind w:left="200"/>
      </w:pPr>
    </w:p>
    <w:p w14:paraId="75C544C5" w14:textId="0C696922" w:rsidR="00B55583" w:rsidRDefault="00B55583">
      <w:pPr>
        <w:ind w:left="200"/>
      </w:pPr>
    </w:p>
    <w:p w14:paraId="42F2E6F0" w14:textId="77777777" w:rsidR="00B55583" w:rsidRDefault="00B55583">
      <w:pPr>
        <w:ind w:left="200"/>
      </w:pPr>
    </w:p>
    <w:p w14:paraId="60ADA45F" w14:textId="77777777" w:rsidR="00294767" w:rsidRDefault="00E01351">
      <w:pPr>
        <w:pStyle w:val="1"/>
      </w:pPr>
      <w:bookmarkStart w:id="55" w:name="_Toc133918805"/>
      <w:r>
        <w:lastRenderedPageBreak/>
        <w:t>Раздел 5. Консолидированная финансовая отчетность (финансовая отчетность), бухгалтерская (финансовая) отчетность эмитента</w:t>
      </w:r>
      <w:bookmarkEnd w:id="55"/>
    </w:p>
    <w:p w14:paraId="0087C448" w14:textId="77777777" w:rsidR="00294767" w:rsidRDefault="00E01351">
      <w:pPr>
        <w:pStyle w:val="2"/>
      </w:pPr>
      <w:bookmarkStart w:id="56" w:name="_Toc133918806"/>
      <w:r>
        <w:t>5.1. Консолидированная финансовая отчетность (финансовая отчетность) эмитента</w:t>
      </w:r>
      <w:bookmarkEnd w:id="56"/>
    </w:p>
    <w:p w14:paraId="7381A39E" w14:textId="77777777" w:rsidR="00294767" w:rsidRDefault="00E01351">
      <w:pPr>
        <w:ind w:left="200"/>
      </w:pPr>
      <w:r>
        <w:t>Cсылка на страницу в сети Интернет, на которой опубликована указанная отчетность:</w:t>
      </w:r>
      <w:r>
        <w:rPr>
          <w:rStyle w:val="Subst"/>
        </w:rPr>
        <w:t xml:space="preserve"> www.disclosure.ru/issuer/7705503750/</w:t>
      </w:r>
    </w:p>
    <w:p w14:paraId="4F6EDDB5" w14:textId="77777777" w:rsidR="00294767" w:rsidRDefault="00E01351">
      <w:pPr>
        <w:pStyle w:val="2"/>
      </w:pPr>
      <w:bookmarkStart w:id="57" w:name="_Toc133918807"/>
      <w:r>
        <w:t>5.2. Бухгалтерская (финансовая) отчетность</w:t>
      </w:r>
      <w:bookmarkEnd w:id="57"/>
    </w:p>
    <w:p w14:paraId="6B3C5120" w14:textId="77777777" w:rsidR="00294767" w:rsidRDefault="00E01351">
      <w:pPr>
        <w:ind w:left="200"/>
      </w:pPr>
      <w:r>
        <w:t>Cсылка на страницу в сети Интернет, на которой опубликована указанная отчетность:</w:t>
      </w:r>
      <w:r>
        <w:rPr>
          <w:rStyle w:val="Subst"/>
        </w:rPr>
        <w:t xml:space="preserve"> www.disclosure.ru/issuer/7705503750/</w:t>
      </w:r>
    </w:p>
    <w:sectPr w:rsidR="00294767" w:rsidSect="00514A59">
      <w:footerReference w:type="default" r:id="rId8"/>
      <w:pgSz w:w="11907" w:h="16840"/>
      <w:pgMar w:top="709" w:right="1418"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73718" w14:textId="77777777" w:rsidR="00315503" w:rsidRDefault="00315503">
      <w:pPr>
        <w:spacing w:before="0" w:after="0"/>
      </w:pPr>
      <w:r>
        <w:separator/>
      </w:r>
    </w:p>
  </w:endnote>
  <w:endnote w:type="continuationSeparator" w:id="0">
    <w:p w14:paraId="08A986C7" w14:textId="77777777" w:rsidR="00315503" w:rsidRDefault="00315503">
      <w:pPr>
        <w:spacing w:before="0" w:after="0"/>
      </w:pPr>
      <w:r>
        <w:continuationSeparator/>
      </w:r>
    </w:p>
  </w:endnote>
  <w:endnote w:type="continuationNotice" w:id="1">
    <w:p w14:paraId="39545360" w14:textId="77777777" w:rsidR="00315503" w:rsidRDefault="0031550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076882"/>
      <w:docPartObj>
        <w:docPartGallery w:val="Page Numbers (Bottom of Page)"/>
        <w:docPartUnique/>
      </w:docPartObj>
    </w:sdtPr>
    <w:sdtEndPr/>
    <w:sdtContent>
      <w:p w14:paraId="436B835B" w14:textId="728DE6B5" w:rsidR="00315503" w:rsidRDefault="00315503">
        <w:pPr>
          <w:pStyle w:val="af0"/>
          <w:jc w:val="right"/>
        </w:pPr>
        <w:r>
          <w:fldChar w:fldCharType="begin"/>
        </w:r>
        <w:r>
          <w:instrText>PAGE   \* MERGEFORMAT</w:instrText>
        </w:r>
        <w:r>
          <w:fldChar w:fldCharType="separate"/>
        </w:r>
        <w:r w:rsidR="00E34599">
          <w:rPr>
            <w:noProof/>
          </w:rPr>
          <w:t>20</w:t>
        </w:r>
        <w:r>
          <w:fldChar w:fldCharType="end"/>
        </w:r>
      </w:p>
    </w:sdtContent>
  </w:sdt>
  <w:p w14:paraId="57DA36F0" w14:textId="77777777" w:rsidR="00315503" w:rsidRDefault="0031550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B2A82" w14:textId="77777777" w:rsidR="00315503" w:rsidRDefault="00315503">
      <w:pPr>
        <w:spacing w:before="0" w:after="0"/>
      </w:pPr>
      <w:r>
        <w:separator/>
      </w:r>
    </w:p>
  </w:footnote>
  <w:footnote w:type="continuationSeparator" w:id="0">
    <w:p w14:paraId="0D69080E" w14:textId="77777777" w:rsidR="00315503" w:rsidRDefault="00315503">
      <w:pPr>
        <w:spacing w:before="0" w:after="0"/>
      </w:pPr>
      <w:r>
        <w:continuationSeparator/>
      </w:r>
    </w:p>
  </w:footnote>
  <w:footnote w:type="continuationNotice" w:id="1">
    <w:p w14:paraId="2D4EFCCB" w14:textId="77777777" w:rsidR="00315503" w:rsidRDefault="00315503">
      <w:pPr>
        <w:spacing w:before="0" w:after="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40E"/>
    <w:rsid w:val="00011B4F"/>
    <w:rsid w:val="00026752"/>
    <w:rsid w:val="00084CA0"/>
    <w:rsid w:val="00107E3E"/>
    <w:rsid w:val="00120A89"/>
    <w:rsid w:val="00131205"/>
    <w:rsid w:val="00135BB0"/>
    <w:rsid w:val="00172F6F"/>
    <w:rsid w:val="0019031F"/>
    <w:rsid w:val="001A16D6"/>
    <w:rsid w:val="001A6A80"/>
    <w:rsid w:val="002050AD"/>
    <w:rsid w:val="002100D9"/>
    <w:rsid w:val="0021452F"/>
    <w:rsid w:val="00270D85"/>
    <w:rsid w:val="0029292E"/>
    <w:rsid w:val="00294767"/>
    <w:rsid w:val="002A685A"/>
    <w:rsid w:val="002B37CB"/>
    <w:rsid w:val="002B5A1C"/>
    <w:rsid w:val="002C2F3A"/>
    <w:rsid w:val="002C5D1A"/>
    <w:rsid w:val="002F6B62"/>
    <w:rsid w:val="00315503"/>
    <w:rsid w:val="003405D9"/>
    <w:rsid w:val="00342B1A"/>
    <w:rsid w:val="00366A68"/>
    <w:rsid w:val="00381400"/>
    <w:rsid w:val="003926C9"/>
    <w:rsid w:val="00394031"/>
    <w:rsid w:val="003A791A"/>
    <w:rsid w:val="003B6A70"/>
    <w:rsid w:val="003C0773"/>
    <w:rsid w:val="003C3079"/>
    <w:rsid w:val="003D01BB"/>
    <w:rsid w:val="00404A10"/>
    <w:rsid w:val="00405F9C"/>
    <w:rsid w:val="004135A6"/>
    <w:rsid w:val="00444FE0"/>
    <w:rsid w:val="00470023"/>
    <w:rsid w:val="00473D8F"/>
    <w:rsid w:val="00496DDB"/>
    <w:rsid w:val="004C3A71"/>
    <w:rsid w:val="004C440E"/>
    <w:rsid w:val="004F5D4C"/>
    <w:rsid w:val="00500B98"/>
    <w:rsid w:val="00512428"/>
    <w:rsid w:val="00514A59"/>
    <w:rsid w:val="0052532B"/>
    <w:rsid w:val="00531DD8"/>
    <w:rsid w:val="0054505B"/>
    <w:rsid w:val="005468A8"/>
    <w:rsid w:val="00546C4B"/>
    <w:rsid w:val="005A3354"/>
    <w:rsid w:val="005D0C68"/>
    <w:rsid w:val="00611E8C"/>
    <w:rsid w:val="00612B98"/>
    <w:rsid w:val="0064583A"/>
    <w:rsid w:val="00693A2B"/>
    <w:rsid w:val="00693E6B"/>
    <w:rsid w:val="006B298B"/>
    <w:rsid w:val="006E192B"/>
    <w:rsid w:val="006E2491"/>
    <w:rsid w:val="0071040C"/>
    <w:rsid w:val="007462FC"/>
    <w:rsid w:val="00773C71"/>
    <w:rsid w:val="007A1361"/>
    <w:rsid w:val="007A4942"/>
    <w:rsid w:val="007A7B73"/>
    <w:rsid w:val="007B7832"/>
    <w:rsid w:val="007F6464"/>
    <w:rsid w:val="007F7152"/>
    <w:rsid w:val="00801953"/>
    <w:rsid w:val="00846FCC"/>
    <w:rsid w:val="008779A7"/>
    <w:rsid w:val="00885795"/>
    <w:rsid w:val="008A021C"/>
    <w:rsid w:val="008B0AA0"/>
    <w:rsid w:val="008C33F6"/>
    <w:rsid w:val="00994322"/>
    <w:rsid w:val="009B176A"/>
    <w:rsid w:val="00A27651"/>
    <w:rsid w:val="00A501DE"/>
    <w:rsid w:val="00A96110"/>
    <w:rsid w:val="00AD5CA3"/>
    <w:rsid w:val="00B542B4"/>
    <w:rsid w:val="00B55583"/>
    <w:rsid w:val="00B9217A"/>
    <w:rsid w:val="00B92CAF"/>
    <w:rsid w:val="00BA672A"/>
    <w:rsid w:val="00C1031E"/>
    <w:rsid w:val="00C324B9"/>
    <w:rsid w:val="00C32737"/>
    <w:rsid w:val="00C43174"/>
    <w:rsid w:val="00C86EBB"/>
    <w:rsid w:val="00C93BA1"/>
    <w:rsid w:val="00CB6F65"/>
    <w:rsid w:val="00CD7BB8"/>
    <w:rsid w:val="00CF07D7"/>
    <w:rsid w:val="00CF08A4"/>
    <w:rsid w:val="00D03EB6"/>
    <w:rsid w:val="00D33193"/>
    <w:rsid w:val="00D50627"/>
    <w:rsid w:val="00DB7B8F"/>
    <w:rsid w:val="00DE6ABB"/>
    <w:rsid w:val="00E0052F"/>
    <w:rsid w:val="00E01351"/>
    <w:rsid w:val="00E113C4"/>
    <w:rsid w:val="00E118E9"/>
    <w:rsid w:val="00E17301"/>
    <w:rsid w:val="00E342F3"/>
    <w:rsid w:val="00E34599"/>
    <w:rsid w:val="00E654E1"/>
    <w:rsid w:val="00E77650"/>
    <w:rsid w:val="00EA5848"/>
    <w:rsid w:val="00EB7AD6"/>
    <w:rsid w:val="00EC3488"/>
    <w:rsid w:val="00ED38C0"/>
    <w:rsid w:val="00ED3DC1"/>
    <w:rsid w:val="00F6254B"/>
    <w:rsid w:val="00F6285A"/>
    <w:rsid w:val="00F66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0BA0CE"/>
  <w14:defaultImageDpi w14:val="0"/>
  <w15:docId w15:val="{8EFCFC73-15FC-48D7-A185-04F74C200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Заголовок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E01351"/>
  </w:style>
  <w:style w:type="paragraph" w:styleId="21">
    <w:name w:val="toc 2"/>
    <w:basedOn w:val="a"/>
    <w:next w:val="a"/>
    <w:autoRedefine/>
    <w:uiPriority w:val="39"/>
    <w:unhideWhenUsed/>
    <w:rsid w:val="00E01351"/>
    <w:pPr>
      <w:ind w:left="200"/>
    </w:pPr>
  </w:style>
  <w:style w:type="table" w:styleId="a5">
    <w:name w:val="Table Grid"/>
    <w:basedOn w:val="a1"/>
    <w:uiPriority w:val="39"/>
    <w:rsid w:val="00026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342F3"/>
    <w:pPr>
      <w:spacing w:before="0" w:after="0"/>
    </w:pPr>
    <w:rPr>
      <w:rFonts w:ascii="Segoe UI" w:hAnsi="Segoe UI" w:cs="Segoe UI"/>
      <w:sz w:val="18"/>
      <w:szCs w:val="18"/>
    </w:rPr>
  </w:style>
  <w:style w:type="character" w:customStyle="1" w:styleId="a7">
    <w:name w:val="Текст выноски Знак"/>
    <w:basedOn w:val="a0"/>
    <w:link w:val="a6"/>
    <w:uiPriority w:val="99"/>
    <w:semiHidden/>
    <w:rsid w:val="00E342F3"/>
    <w:rPr>
      <w:rFonts w:ascii="Segoe UI" w:hAnsi="Segoe UI" w:cs="Segoe UI"/>
      <w:sz w:val="18"/>
      <w:szCs w:val="18"/>
    </w:rPr>
  </w:style>
  <w:style w:type="character" w:styleId="a8">
    <w:name w:val="annotation reference"/>
    <w:basedOn w:val="a0"/>
    <w:uiPriority w:val="99"/>
    <w:semiHidden/>
    <w:unhideWhenUsed/>
    <w:rsid w:val="0052532B"/>
    <w:rPr>
      <w:sz w:val="16"/>
      <w:szCs w:val="16"/>
    </w:rPr>
  </w:style>
  <w:style w:type="paragraph" w:styleId="a9">
    <w:name w:val="annotation text"/>
    <w:basedOn w:val="a"/>
    <w:link w:val="aa"/>
    <w:uiPriority w:val="99"/>
    <w:semiHidden/>
    <w:unhideWhenUsed/>
    <w:rsid w:val="0052532B"/>
  </w:style>
  <w:style w:type="character" w:customStyle="1" w:styleId="aa">
    <w:name w:val="Текст примечания Знак"/>
    <w:basedOn w:val="a0"/>
    <w:link w:val="a9"/>
    <w:uiPriority w:val="99"/>
    <w:semiHidden/>
    <w:rsid w:val="0052532B"/>
    <w:rPr>
      <w:rFonts w:ascii="Times New Roman" w:hAnsi="Times New Roman" w:cs="Times New Roman"/>
      <w:sz w:val="20"/>
      <w:szCs w:val="20"/>
    </w:rPr>
  </w:style>
  <w:style w:type="paragraph" w:styleId="ab">
    <w:name w:val="annotation subject"/>
    <w:basedOn w:val="a9"/>
    <w:next w:val="a9"/>
    <w:link w:val="ac"/>
    <w:uiPriority w:val="99"/>
    <w:semiHidden/>
    <w:unhideWhenUsed/>
    <w:rsid w:val="0052532B"/>
    <w:rPr>
      <w:b/>
      <w:bCs/>
    </w:rPr>
  </w:style>
  <w:style w:type="character" w:customStyle="1" w:styleId="ac">
    <w:name w:val="Тема примечания Знак"/>
    <w:basedOn w:val="aa"/>
    <w:link w:val="ab"/>
    <w:uiPriority w:val="99"/>
    <w:semiHidden/>
    <w:rsid w:val="0052532B"/>
    <w:rPr>
      <w:rFonts w:ascii="Times New Roman" w:hAnsi="Times New Roman" w:cs="Times New Roman"/>
      <w:b/>
      <w:bCs/>
      <w:sz w:val="20"/>
      <w:szCs w:val="20"/>
    </w:rPr>
  </w:style>
  <w:style w:type="paragraph" w:styleId="ad">
    <w:name w:val="header"/>
    <w:basedOn w:val="a"/>
    <w:link w:val="ae"/>
    <w:uiPriority w:val="99"/>
    <w:unhideWhenUsed/>
    <w:rsid w:val="00366A68"/>
    <w:pPr>
      <w:tabs>
        <w:tab w:val="center" w:pos="4677"/>
        <w:tab w:val="right" w:pos="9355"/>
      </w:tabs>
      <w:spacing w:before="0" w:after="0"/>
    </w:pPr>
  </w:style>
  <w:style w:type="character" w:customStyle="1" w:styleId="ae">
    <w:name w:val="Верхний колонтитул Знак"/>
    <w:basedOn w:val="a0"/>
    <w:link w:val="ad"/>
    <w:uiPriority w:val="99"/>
    <w:rsid w:val="00366A68"/>
    <w:rPr>
      <w:rFonts w:ascii="Times New Roman" w:hAnsi="Times New Roman" w:cs="Times New Roman"/>
      <w:sz w:val="20"/>
      <w:szCs w:val="20"/>
    </w:rPr>
  </w:style>
  <w:style w:type="paragraph" w:styleId="af">
    <w:name w:val="Revision"/>
    <w:hidden/>
    <w:uiPriority w:val="99"/>
    <w:semiHidden/>
    <w:rsid w:val="00DB7B8F"/>
    <w:pPr>
      <w:spacing w:after="0" w:line="240" w:lineRule="auto"/>
    </w:pPr>
    <w:rPr>
      <w:rFonts w:ascii="Times New Roman" w:hAnsi="Times New Roman" w:cs="Times New Roman"/>
      <w:sz w:val="20"/>
      <w:szCs w:val="20"/>
    </w:rPr>
  </w:style>
  <w:style w:type="paragraph" w:styleId="af0">
    <w:name w:val="footer"/>
    <w:basedOn w:val="a"/>
    <w:link w:val="af1"/>
    <w:uiPriority w:val="99"/>
    <w:unhideWhenUsed/>
    <w:rsid w:val="00514A59"/>
    <w:pPr>
      <w:tabs>
        <w:tab w:val="center" w:pos="4677"/>
        <w:tab w:val="right" w:pos="9355"/>
      </w:tabs>
      <w:spacing w:before="0" w:after="0"/>
    </w:pPr>
  </w:style>
  <w:style w:type="character" w:customStyle="1" w:styleId="af1">
    <w:name w:val="Нижний колонтитул Знак"/>
    <w:basedOn w:val="a0"/>
    <w:link w:val="af0"/>
    <w:uiPriority w:val="99"/>
    <w:rsid w:val="00514A59"/>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791115">
      <w:bodyDiv w:val="1"/>
      <w:marLeft w:val="0"/>
      <w:marRight w:val="0"/>
      <w:marTop w:val="0"/>
      <w:marBottom w:val="0"/>
      <w:divBdr>
        <w:top w:val="none" w:sz="0" w:space="0" w:color="auto"/>
        <w:left w:val="none" w:sz="0" w:space="0" w:color="auto"/>
        <w:bottom w:val="none" w:sz="0" w:space="0" w:color="auto"/>
        <w:right w:val="none" w:sz="0" w:space="0" w:color="auto"/>
      </w:divBdr>
    </w:div>
    <w:div w:id="161324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0D78F-9B2F-4BC9-BDEA-712C88117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15266</Words>
  <Characters>113013</Characters>
  <Application>Microsoft Office Word</Application>
  <DocSecurity>0</DocSecurity>
  <Lines>941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Котельникова Екатерина Евгеньевна</dc:creator>
  <cp:keywords/>
  <dc:description/>
  <cp:lastModifiedBy>Соломко Анна Анатольевна</cp:lastModifiedBy>
  <cp:revision>2</cp:revision>
  <dcterms:created xsi:type="dcterms:W3CDTF">2023-05-09T16:41:00Z</dcterms:created>
  <dcterms:modified xsi:type="dcterms:W3CDTF">2023-05-09T16:41:00Z</dcterms:modified>
</cp:coreProperties>
</file>